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808080"/>
          <w:sz w:val="18"/>
        </w:rPr>
        <w:t>NOTE INTERNE - CONFIDENTIEL</w:t>
      </w:r>
    </w:p>
    <w:p>
      <w:pPr>
        <w:spacing w:after="40"/>
      </w:pPr>
      <w:r>
        <w:rPr>
          <w:b/>
          <w:color w:val="112A40"/>
          <w:sz w:val="28"/>
        </w:rPr>
        <w:t>FPPN : anomalies relevées dans les données reçues le 15/10/2026</w:t>
      </w:r>
    </w:p>
    <w:p>
      <w:pPr>
        <w:spacing w:after="200"/>
      </w:pPr>
      <w:r>
        <w:rPr>
          <w:b w:val="0"/>
          <w:color w:val="808080"/>
          <w:sz w:val="18"/>
        </w:rPr>
        <w:t>De : Jean-Noël Sialou (volet actuariel)    Date : 18/10/2026    Diffusion : équipe Adenka uniquement</w:t>
      </w:r>
    </w:p>
    <w:p>
      <w:pPr>
        <w:spacing w:after="160"/>
      </w:pPr>
      <w:r>
        <w:rPr>
          <w:b w:val="0"/>
          <w:sz w:val="20"/>
        </w:rPr>
        <w:t>Objet. Cette note recense les anomalies relevées lors de l'extraction, du contrôle et de l'analyse des données. Chaque anomalie porte la référence du fichier concerné (chemin dans l'envoi du FPPN et identifiant de l'extraction, F00000). Les constats sensibles sont repris ici en détail ; le rapport les présente de façon générale.</w:t>
      </w:r>
    </w:p>
    <w:tbl>
      <w:tblPr>
        <w:tblStyle w:val="TableGrid"/>
        <w:tblW w:type="auto" w:w="0"/>
        <w:tblLayout w:type="fixed"/>
        <w:tblLook w:firstColumn="1" w:firstRow="1" w:lastColumn="0" w:lastRow="0" w:noHBand="0" w:noVBand="1" w:val="04A0"/>
      </w:tblPr>
      <w:tblGrid>
        <w:gridCol w:w="567"/>
        <w:gridCol w:w="3118"/>
        <w:gridCol w:w="5953"/>
      </w:tblGrid>
      <w:tr>
        <w:tc>
          <w:tcPr>
            <w:tcW w:type="dxa" w:w="567"/>
            <w:shd w:val="clear" w:color="auto" w:fill="060606"/>
          </w:tcPr>
          <w:p>
            <w:r/>
            <w:r>
              <w:rPr>
                <w:b/>
                <w:color w:val="FFFFFF"/>
                <w:sz w:val="18"/>
              </w:rPr>
              <w:t>N°</w:t>
            </w:r>
          </w:p>
        </w:tc>
        <w:tc>
          <w:tcPr>
            <w:tcW w:type="dxa" w:w="3118"/>
            <w:shd w:val="clear" w:color="auto" w:fill="060606"/>
          </w:tcPr>
          <w:p>
            <w:r/>
            <w:r>
              <w:rPr>
                <w:b/>
                <w:color w:val="FFFFFF"/>
                <w:sz w:val="18"/>
              </w:rPr>
              <w:t>Anomalie</w:t>
            </w:r>
          </w:p>
        </w:tc>
        <w:tc>
          <w:tcPr>
            <w:tcW w:type="dxa" w:w="5953"/>
            <w:shd w:val="clear" w:color="auto" w:fill="060606"/>
          </w:tcPr>
          <w:p>
            <w:r/>
            <w:r>
              <w:rPr>
                <w:b/>
                <w:color w:val="FFFFFF"/>
                <w:sz w:val="18"/>
              </w:rPr>
              <w:t>Référence et détail</w:t>
            </w:r>
          </w:p>
        </w:tc>
      </w:tr>
      <w:tr>
        <w:tc>
          <w:tcPr>
            <w:tcW w:type="dxa" w:w="9972"/>
            <w:gridSpan w:val="3"/>
            <w:shd w:val="clear" w:color="auto" w:fill="BBBCBC"/>
          </w:tcPr>
          <w:p>
            <w:r/>
            <w:r>
              <w:rPr>
                <w:b/>
                <w:sz w:val="18"/>
              </w:rPr>
              <w:t>A. Fichiers vides, endommagés ou mal classés</w:t>
            </w:r>
          </w:p>
        </w:tc>
      </w:tr>
      <w:tr>
        <w:tc>
          <w:tcPr>
            <w:tcW w:type="dxa" w:w="567"/>
          </w:tcPr>
          <w:p>
            <w:r/>
            <w:r>
              <w:rPr>
                <w:sz w:val="17"/>
              </w:rPr>
              <w:t>1</w:t>
            </w:r>
          </w:p>
        </w:tc>
        <w:tc>
          <w:tcPr>
            <w:tcW w:type="dxa" w:w="3118"/>
          </w:tcPr>
          <w:p>
            <w:r/>
            <w:r>
              <w:rPr>
                <w:b/>
                <w:sz w:val="17"/>
              </w:rPr>
              <w:t>Fichiers vides (0 octet), identiques octet pour octet</w:t>
            </w:r>
          </w:p>
        </w:tc>
        <w:tc>
          <w:tcPr>
            <w:tcW w:type="dxa" w:w="5953"/>
          </w:tcPr>
          <w:p>
            <w:r/>
            <w:r>
              <w:rPr>
                <w:sz w:val="17"/>
              </w:rPr>
              <w:t>FPPN-SOLDE\ALLOCATION DECES\2024\FPPN_ALLOC_DECES_8Z6_DECEMBRE_2024.xlsx (F03744) ; FPPN-SOLDE\EFFECTIF POLICE (MALADIE)\2024\122024_effectif_police_936_DECEMBRE 2024.xlsx</w:t>
            </w:r>
          </w:p>
        </w:tc>
      </w:tr>
      <w:tr>
        <w:tc>
          <w:tcPr>
            <w:tcW w:type="dxa" w:w="567"/>
          </w:tcPr>
          <w:p>
            <w:r/>
            <w:r>
              <w:rPr>
                <w:sz w:val="17"/>
              </w:rPr>
              <w:t>2</w:t>
            </w:r>
          </w:p>
        </w:tc>
        <w:tc>
          <w:tcPr>
            <w:tcW w:type="dxa" w:w="3118"/>
          </w:tcPr>
          <w:p>
            <w:r/>
            <w:r>
              <w:rPr>
                <w:b/>
                <w:sz w:val="17"/>
              </w:rPr>
              <w:t>Retours MEDOC sans données (« aucune ligne sélectionnée »)</w:t>
            </w:r>
          </w:p>
        </w:tc>
        <w:tc>
          <w:tcPr>
            <w:tcW w:type="dxa" w:w="5953"/>
          </w:tcPr>
          <w:p>
            <w:r/>
            <w:r>
              <w:rPr>
                <w:sz w:val="17"/>
              </w:rPr>
              <w:t>FPPN-SOLDE\MEDOC\2026\RETOUR\8Z7 FEVRIER 2026.CSV ; 8Z7_AVRIL_2026.CSV</w:t>
            </w:r>
          </w:p>
        </w:tc>
      </w:tr>
      <w:tr>
        <w:tc>
          <w:tcPr>
            <w:tcW w:type="dxa" w:w="567"/>
          </w:tcPr>
          <w:p>
            <w:r/>
            <w:r>
              <w:rPr>
                <w:sz w:val="17"/>
              </w:rPr>
              <w:t>3</w:t>
            </w:r>
          </w:p>
        </w:tc>
        <w:tc>
          <w:tcPr>
            <w:tcW w:type="dxa" w:w="3118"/>
          </w:tcPr>
          <w:p>
            <w:r/>
            <w:r>
              <w:rPr>
                <w:b/>
                <w:sz w:val="17"/>
              </w:rPr>
              <w:t>7 fichiers comptables Excel endommagés (données de la feuille illisibles)</w:t>
            </w:r>
          </w:p>
        </w:tc>
        <w:tc>
          <w:tcPr>
            <w:tcW w:type="dxa" w:w="5953"/>
          </w:tcPr>
          <w:p>
            <w:r/>
            <w:r>
              <w:rPr>
                <w:sz w:val="17"/>
              </w:rPr>
              <w:t>AUDIT ADENKA\DAFC : balance des tiers 2021 et 2025 ; grand livre des comptes 2021, 2022, 2024 ; grand livre des tiers 2023 et 2025. Les PDF équivalents sont lisibles, sauf le grand livre des comptes 2022 (417 pages récupérées sur 657).</w:t>
            </w:r>
          </w:p>
        </w:tc>
      </w:tr>
      <w:tr>
        <w:tc>
          <w:tcPr>
            <w:tcW w:type="dxa" w:w="567"/>
          </w:tcPr>
          <w:p>
            <w:r/>
            <w:r>
              <w:rPr>
                <w:sz w:val="17"/>
              </w:rPr>
              <w:t>4</w:t>
            </w:r>
          </w:p>
        </w:tc>
        <w:tc>
          <w:tcPr>
            <w:tcW w:type="dxa" w:w="3118"/>
          </w:tcPr>
          <w:p>
            <w:r/>
            <w:r>
              <w:rPr>
                <w:b/>
                <w:sz w:val="17"/>
              </w:rPr>
              <w:t>Fichiers aller classés dans les dossiers retour</w:t>
            </w:r>
          </w:p>
        </w:tc>
        <w:tc>
          <w:tcPr>
            <w:tcW w:type="dxa" w:w="5953"/>
          </w:tcPr>
          <w:p>
            <w:r/>
            <w:r>
              <w:rPr>
                <w:sz w:val="17"/>
              </w:rPr>
              <w:t>FPPN-CGRAE\PRECOMTES\FICHIER RETOUR (CGRAE)\2024\JUIN\Fichier aller CGRAE Juin 2024.xlsx ; FPPN-GNA\FICHIER RETOUR\2026\FICHIER ALLER GNA JANVIER 2026.xlsx</w:t>
            </w:r>
          </w:p>
        </w:tc>
      </w:tr>
      <w:tr>
        <w:tc>
          <w:tcPr>
            <w:tcW w:type="dxa" w:w="567"/>
          </w:tcPr>
          <w:p>
            <w:r/>
            <w:r>
              <w:rPr>
                <w:sz w:val="17"/>
              </w:rPr>
              <w:t>5</w:t>
            </w:r>
          </w:p>
        </w:tc>
        <w:tc>
          <w:tcPr>
            <w:tcW w:type="dxa" w:w="3118"/>
          </w:tcPr>
          <w:p>
            <w:r/>
            <w:r>
              <w:rPr>
                <w:b/>
                <w:sz w:val="17"/>
              </w:rPr>
              <w:t>Fichiers mal nommés ou mal classés</w:t>
            </w:r>
          </w:p>
        </w:tc>
        <w:tc>
          <w:tcPr>
            <w:tcW w:type="dxa" w:w="5953"/>
          </w:tcPr>
          <w:p>
            <w:r/>
            <w:r>
              <w:rPr>
                <w:sz w:val="17"/>
              </w:rPr>
              <w:t>FPPN-SOLDE\PEP\FICHIER ALLER\2026\FICHIER ALLER MEDOC AOUT 2026.xlsx (MEDOC dans le dossier PEP) ; FPPN-SOLDE\GRENIER\...\2025\Fichier ALLER\FICHIER GRENIER ALLER JANVIER 2024.xlsx (dans le dossier 2025) ; FPPN-CGRAE\...\FICHIERS ALLER (FPPN)\2025\OCTOBRE\Fichier aller CGRAE NOVEMBRE 2025 - Copie1.xlsx</w:t>
            </w:r>
          </w:p>
        </w:tc>
      </w:tr>
      <w:tr>
        <w:tc>
          <w:tcPr>
            <w:tcW w:type="dxa" w:w="567"/>
          </w:tcPr>
          <w:p>
            <w:r/>
            <w:r>
              <w:rPr>
                <w:sz w:val="17"/>
              </w:rPr>
              <w:t>6</w:t>
            </w:r>
          </w:p>
        </w:tc>
        <w:tc>
          <w:tcPr>
            <w:tcW w:type="dxa" w:w="3118"/>
          </w:tcPr>
          <w:p>
            <w:r/>
            <w:r>
              <w:rPr>
                <w:b/>
                <w:sz w:val="17"/>
              </w:rPr>
              <w:t>Données médicales personnelles sans lien avec le dossier</w:t>
            </w:r>
          </w:p>
        </w:tc>
        <w:tc>
          <w:tcPr>
            <w:tcW w:type="dxa" w:w="5953"/>
          </w:tcPr>
          <w:p>
            <w:r/>
            <w:r>
              <w:rPr>
                <w:sz w:val="17"/>
              </w:rPr>
              <w:t>FPPN-SOLDE\EFC\TEST\EHILE KOLABLE J. 202503526\ (dossier médical, fiche malade, pièce d'identité, résultats de laboratoire). Non transmis à l'analyse ; à signaler au FPPN avec discrétion.</w:t>
            </w:r>
          </w:p>
        </w:tc>
      </w:tr>
      <w:tr>
        <w:tc>
          <w:tcPr>
            <w:tcW w:type="dxa" w:w="9972"/>
            <w:gridSpan w:val="3"/>
            <w:shd w:val="clear" w:color="auto" w:fill="BBBCBC"/>
          </w:tcPr>
          <w:p>
            <w:r/>
            <w:r>
              <w:rPr>
                <w:b/>
                <w:sz w:val="18"/>
              </w:rPr>
              <w:t>B. Anomalies de contenu</w:t>
            </w:r>
          </w:p>
        </w:tc>
      </w:tr>
      <w:tr>
        <w:tc>
          <w:tcPr>
            <w:tcW w:type="dxa" w:w="567"/>
          </w:tcPr>
          <w:p>
            <w:r/>
            <w:r>
              <w:rPr>
                <w:sz w:val="17"/>
              </w:rPr>
              <w:t>7</w:t>
            </w:r>
          </w:p>
        </w:tc>
        <w:tc>
          <w:tcPr>
            <w:tcW w:type="dxa" w:w="3118"/>
          </w:tcPr>
          <w:p>
            <w:r/>
            <w:r>
              <w:rPr>
                <w:b/>
                <w:sz w:val="17"/>
              </w:rPr>
              <w:t>Lignes de total en bas des fichiers Excel de la Solde, avec le nombre de lignes dans la colonne matricule</w:t>
            </w:r>
          </w:p>
        </w:tc>
        <w:tc>
          <w:tcPr>
            <w:tcW w:type="dxa" w:w="5953"/>
          </w:tcPr>
          <w:p>
            <w:r/>
            <w:r>
              <w:rPr>
                <w:sz w:val="17"/>
              </w:rPr>
              <w:t>87 fichiers (ex. FPPN-SOLDE\EFFECTIF POLICE (MALADIE)\2025\FEVRIER 2025_effectif_police_936.xlsx : total de 202 597 314 FCFA, « matricule » 27861). Écartées : 10,3 Md FCFA de double compte évité.</w:t>
            </w:r>
          </w:p>
        </w:tc>
      </w:tr>
      <w:tr>
        <w:tc>
          <w:tcPr>
            <w:tcW w:type="dxa" w:w="567"/>
          </w:tcPr>
          <w:p>
            <w:r/>
            <w:r>
              <w:rPr>
                <w:sz w:val="17"/>
              </w:rPr>
              <w:t>8</w:t>
            </w:r>
          </w:p>
        </w:tc>
        <w:tc>
          <w:tcPr>
            <w:tcW w:type="dxa" w:w="3118"/>
          </w:tcPr>
          <w:p>
            <w:r/>
            <w:r>
              <w:rPr>
                <w:b/>
                <w:sz w:val="17"/>
              </w:rPr>
              <w:t>Montants saisis deux fois à la suite</w:t>
            </w:r>
          </w:p>
        </w:tc>
        <w:tc>
          <w:tcPr>
            <w:tcW w:type="dxa" w:w="5953"/>
          </w:tcPr>
          <w:p>
            <w:r/>
            <w:r>
              <w:rPr>
                <w:sz w:val="17"/>
              </w:rPr>
              <w:t>FPPN-SOLDE\ALLOCATION DECES\2024\FPPN_ALLOC_DECES_8Z6_AVRIL_2024.xlsx (F03743) : 17 lignes, ex. matricule 260586E, 4792447924 pour 47924 ; 176385U, 50825082 pour 5082. Corrigés dans la base.</w:t>
            </w:r>
          </w:p>
        </w:tc>
      </w:tr>
      <w:tr>
        <w:tc>
          <w:tcPr>
            <w:tcW w:type="dxa" w:w="567"/>
          </w:tcPr>
          <w:p>
            <w:r/>
            <w:r>
              <w:rPr>
                <w:sz w:val="17"/>
              </w:rPr>
              <w:t>9</w:t>
            </w:r>
          </w:p>
        </w:tc>
        <w:tc>
          <w:tcPr>
            <w:tcW w:type="dxa" w:w="3118"/>
          </w:tcPr>
          <w:p>
            <w:r/>
            <w:r>
              <w:rPr>
                <w:b/>
                <w:sz w:val="17"/>
              </w:rPr>
              <w:t>Export du logiciel de prêts sans lettre-clé du mécano</w:t>
            </w:r>
          </w:p>
        </w:tc>
        <w:tc>
          <w:tcPr>
            <w:tcW w:type="dxa" w:w="5953"/>
          </w:tcPr>
          <w:p>
            <w:r/>
            <w:r>
              <w:rPr>
                <w:sz w:val="17"/>
              </w:rPr>
              <w:t>Fichiers BalanceAgeeDetaille et production_de_la_periode (.xls au format page web) : 321100C devient 321100. Rapprochement avec la Solde à faire sur les chiffres et le nom.</w:t>
            </w:r>
          </w:p>
        </w:tc>
      </w:tr>
      <w:tr>
        <w:tc>
          <w:tcPr>
            <w:tcW w:type="dxa" w:w="567"/>
          </w:tcPr>
          <w:p>
            <w:r/>
            <w:r>
              <w:rPr>
                <w:sz w:val="17"/>
              </w:rPr>
              <w:t>10</w:t>
            </w:r>
          </w:p>
        </w:tc>
        <w:tc>
          <w:tcPr>
            <w:tcW w:type="dxa" w:w="3118"/>
          </w:tcPr>
          <w:p>
            <w:r/>
            <w:r>
              <w:rPr>
                <w:b/>
                <w:sz w:val="17"/>
              </w:rPr>
              <w:t>Identifiants internes sans mécano</w:t>
            </w:r>
          </w:p>
        </w:tc>
        <w:tc>
          <w:tcPr>
            <w:tcW w:type="dxa" w:w="5953"/>
          </w:tcPr>
          <w:p>
            <w:r/>
            <w:r>
              <w:rPr>
                <w:sz w:val="17"/>
              </w:rPr>
              <w:t>224 lignes, 34 identifiants de la forme « 183FPPN », dans les fichiers aller PEP 998 (2025, 2026) et Grenier 9X4 (2025, 2026). Nature à préciser (agents du FPPN ?).</w:t>
            </w:r>
          </w:p>
        </w:tc>
      </w:tr>
      <w:tr>
        <w:tc>
          <w:tcPr>
            <w:tcW w:type="dxa" w:w="567"/>
          </w:tcPr>
          <w:p>
            <w:r/>
            <w:r>
              <w:rPr>
                <w:sz w:val="17"/>
              </w:rPr>
              <w:t>11</w:t>
            </w:r>
          </w:p>
        </w:tc>
        <w:tc>
          <w:tcPr>
            <w:tcW w:type="dxa" w:w="3118"/>
          </w:tcPr>
          <w:p>
            <w:r/>
            <w:r>
              <w:rPr>
                <w:b/>
                <w:sz w:val="17"/>
              </w:rPr>
              <w:t>Références autres que PEP sous le poste 998</w:t>
            </w:r>
          </w:p>
        </w:tc>
        <w:tc>
          <w:tcPr>
            <w:tcW w:type="dxa" w:w="5953"/>
          </w:tcPr>
          <w:p>
            <w:r/>
            <w:r>
              <w:rPr>
                <w:sz w:val="17"/>
              </w:rPr>
              <w:t>PTI, RPEP, EP, TI dans les fichiers texte PEP 2001 à 2022 et les retours (ex. 998_2020_1.txt, références PTI à plus de 100 000 FCFA par mois).</w:t>
            </w:r>
          </w:p>
        </w:tc>
      </w:tr>
      <w:tr>
        <w:tc>
          <w:tcPr>
            <w:tcW w:type="dxa" w:w="567"/>
          </w:tcPr>
          <w:p>
            <w:r/>
            <w:r>
              <w:rPr>
                <w:sz w:val="17"/>
              </w:rPr>
              <w:t>12</w:t>
            </w:r>
          </w:p>
        </w:tc>
        <w:tc>
          <w:tcPr>
            <w:tcW w:type="dxa" w:w="3118"/>
          </w:tcPr>
          <w:p>
            <w:r/>
            <w:r>
              <w:rPr>
                <w:b/>
                <w:sz w:val="17"/>
              </w:rPr>
              <w:t>Fichiers texte PEP 2001 à 2013 : un seul mois par an</w:t>
            </w:r>
          </w:p>
        </w:tc>
        <w:tc>
          <w:tcPr>
            <w:tcW w:type="dxa" w:w="5953"/>
          </w:tcPr>
          <w:p>
            <w:r/>
            <w:r>
              <w:rPr>
                <w:sz w:val="17"/>
              </w:rPr>
              <w:t>FPPN-SOLDE\PEP\FICHIER RETOUR\PRECOMPTE 2001-2022\998_2001_1.txt à 998_2013_1.txt. Le détail mensuel n'existe qu'à partir de 2014.</w:t>
            </w:r>
          </w:p>
        </w:tc>
      </w:tr>
      <w:tr>
        <w:tc>
          <w:tcPr>
            <w:tcW w:type="dxa" w:w="9972"/>
            <w:gridSpan w:val="3"/>
            <w:shd w:val="clear" w:color="auto" w:fill="BBBCBC"/>
          </w:tcPr>
          <w:p>
            <w:r/>
            <w:r>
              <w:rPr>
                <w:b/>
                <w:sz w:val="18"/>
              </w:rPr>
              <w:t>C. Constats sensibles (présentés de façon générale dans le rapport)</w:t>
            </w:r>
          </w:p>
        </w:tc>
      </w:tr>
      <w:tr>
        <w:tc>
          <w:tcPr>
            <w:tcW w:type="dxa" w:w="567"/>
          </w:tcPr>
          <w:p>
            <w:r/>
            <w:r>
              <w:rPr>
                <w:sz w:val="17"/>
              </w:rPr>
              <w:t>13</w:t>
            </w:r>
          </w:p>
        </w:tc>
        <w:tc>
          <w:tcPr>
            <w:tcW w:type="dxa" w:w="3118"/>
          </w:tcPr>
          <w:p>
            <w:r/>
            <w:r>
              <w:rPr>
                <w:b/>
                <w:sz w:val="17"/>
              </w:rPr>
              <w:t>Répartition du précompte de 5 % différente du barème annoncé</w:t>
            </w:r>
          </w:p>
        </w:tc>
        <w:tc>
          <w:tcPr>
            <w:tcW w:type="dxa" w:w="5953"/>
          </w:tcPr>
          <w:p>
            <w:r/>
            <w:r>
              <w:rPr>
                <w:sz w:val="17"/>
              </w:rPr>
              <w:t>3,77 % maladie (936) et 1,23 % décès (8Z6) sur 209 670 lignes ; la comptabilité répartit environ 70 / 30.</w:t>
            </w:r>
          </w:p>
        </w:tc>
      </w:tr>
      <w:tr>
        <w:tc>
          <w:tcPr>
            <w:tcW w:type="dxa" w:w="567"/>
          </w:tcPr>
          <w:p>
            <w:r/>
            <w:r>
              <w:rPr>
                <w:sz w:val="17"/>
              </w:rPr>
              <w:t>14</w:t>
            </w:r>
          </w:p>
        </w:tc>
        <w:tc>
          <w:tcPr>
            <w:tcW w:type="dxa" w:w="3118"/>
          </w:tcPr>
          <w:p>
            <w:r/>
            <w:r>
              <w:rPr>
                <w:b/>
                <w:sz w:val="17"/>
              </w:rPr>
              <w:t>Provisions techniques identiques de 2020 à 2026</w:t>
            </w:r>
          </w:p>
        </w:tc>
        <w:tc>
          <w:tcPr>
            <w:tcW w:type="dxa" w:w="5953"/>
          </w:tcPr>
          <w:p>
            <w:r/>
            <w:r>
              <w:rPr>
                <w:sz w:val="17"/>
              </w:rPr>
              <w:t>Comptes 19011000 et 19012000 puis 15801000 et 15802000 : 2 867,6 M et 1 961,7 M FCFA à chaque clôture.</w:t>
            </w:r>
          </w:p>
        </w:tc>
      </w:tr>
      <w:tr>
        <w:tc>
          <w:tcPr>
            <w:tcW w:type="dxa" w:w="567"/>
          </w:tcPr>
          <w:p>
            <w:r/>
            <w:r>
              <w:rPr>
                <w:sz w:val="17"/>
              </w:rPr>
              <w:t>15</w:t>
            </w:r>
          </w:p>
        </w:tc>
        <w:tc>
          <w:tcPr>
            <w:tcW w:type="dxa" w:w="3118"/>
          </w:tcPr>
          <w:p>
            <w:r/>
            <w:r>
              <w:rPr>
                <w:b/>
                <w:sz w:val="17"/>
              </w:rPr>
              <w:t>Épargne faiblement couverte</w:t>
            </w:r>
          </w:p>
        </w:tc>
        <w:tc>
          <w:tcPr>
            <w:tcW w:type="dxa" w:w="5953"/>
          </w:tcPr>
          <w:p>
            <w:r/>
            <w:r>
              <w:rPr>
                <w:sz w:val="17"/>
              </w:rPr>
              <w:t>PEP et EFC 15 743,5 M FCFA au 31/08/2026 ; banques, DAT et FCP dédiés 2 562,9 M (16 %).</w:t>
            </w:r>
          </w:p>
        </w:tc>
      </w:tr>
      <w:tr>
        <w:tc>
          <w:tcPr>
            <w:tcW w:type="dxa" w:w="567"/>
          </w:tcPr>
          <w:p>
            <w:r/>
            <w:r>
              <w:rPr>
                <w:sz w:val="17"/>
              </w:rPr>
              <w:t>16</w:t>
            </w:r>
          </w:p>
        </w:tc>
        <w:tc>
          <w:tcPr>
            <w:tcW w:type="dxa" w:w="3118"/>
          </w:tcPr>
          <w:p>
            <w:r/>
            <w:r>
              <w:rPr>
                <w:b/>
                <w:sz w:val="17"/>
              </w:rPr>
              <w:t>Fonds propres négatifs et créances anciennes</w:t>
            </w:r>
          </w:p>
        </w:tc>
        <w:tc>
          <w:tcPr>
            <w:tcW w:type="dxa" w:w="5953"/>
          </w:tcPr>
          <w:p>
            <w:r/>
            <w:r>
              <w:rPr>
                <w:sz w:val="17"/>
              </w:rPr>
              <w:t>Fonds propres de -6 743 M (2020) à -438 M (2025) ; créance Hôpital de la Police 3 407,5 M FCFA inchangée depuis 2020 (compte 47111100).</w:t>
            </w:r>
          </w:p>
        </w:tc>
      </w:tr>
      <w:tr>
        <w:tc>
          <w:tcPr>
            <w:tcW w:type="dxa" w:w="567"/>
          </w:tcPr>
          <w:p>
            <w:r/>
            <w:r>
              <w:rPr>
                <w:sz w:val="17"/>
              </w:rPr>
              <w:t>17</w:t>
            </w:r>
          </w:p>
        </w:tc>
        <w:tc>
          <w:tcPr>
            <w:tcW w:type="dxa" w:w="3118"/>
          </w:tcPr>
          <w:p>
            <w:r/>
            <w:r>
              <w:rPr>
                <w:b/>
                <w:sz w:val="17"/>
              </w:rPr>
              <w:t>Retards du Grenier fin janvier 2026</w:t>
            </w:r>
          </w:p>
        </w:tc>
        <w:tc>
          <w:tcPr>
            <w:tcW w:type="dxa" w:w="5953"/>
          </w:tcPr>
          <w:p>
            <w:r/>
            <w:r>
              <w:rPr>
                <w:sz w:val="17"/>
              </w:rPr>
              <w:t>62 % de l'encours en retard de plus de 30 jours (balance âgée au 31/01/2026), 1,8 % au 31/08/2026 ; échéances 2026 supérieures de 15 à 24 % aux précomptes 9X4.</w:t>
            </w:r>
          </w:p>
        </w:tc>
      </w:tr>
      <w:tr>
        <w:tc>
          <w:tcPr>
            <w:tcW w:type="dxa" w:w="567"/>
          </w:tcPr>
          <w:p>
            <w:r/>
            <w:r>
              <w:rPr>
                <w:sz w:val="17"/>
              </w:rPr>
              <w:t>18</w:t>
            </w:r>
          </w:p>
        </w:tc>
        <w:tc>
          <w:tcPr>
            <w:tcW w:type="dxa" w:w="3118"/>
          </w:tcPr>
          <w:p>
            <w:r/>
            <w:r>
              <w:rPr>
                <w:b/>
                <w:sz w:val="17"/>
              </w:rPr>
              <w:t>Comptabilité 2026 provisoire et changement de dossier comptable</w:t>
            </w:r>
          </w:p>
        </w:tc>
        <w:tc>
          <w:tcPr>
            <w:tcW w:type="dxa" w:w="5953"/>
          </w:tcPr>
          <w:p>
            <w:r/>
            <w:r>
              <w:rPr>
                <w:sz w:val="17"/>
              </w:rPr>
              <w:t>Balances au 31/08/2026 en « impression provisoire » ; dossier Sage « FONDS PREVOYANCE DE LA POLICE NTLE » jusqu'en 2020, « FPPN PCMS 2021 » ensuite.</w:t>
            </w:r>
          </w:p>
        </w:tc>
      </w:tr>
    </w:tbl>
    <w:p>
      <w:pPr>
        <w:spacing w:after="80"/>
      </w:pPr>
      <w:r>
        <w:rPr>
          <w:b w:val="0"/>
          <w:sz w:val="20"/>
        </w:rPr>
      </w:r>
    </w:p>
    <w:p>
      <w:pPr>
        <w:spacing w:after="40"/>
      </w:pPr>
      <w:r>
        <w:rPr>
          <w:b w:val="0"/>
          <w:sz w:val="20"/>
        </w:rPr>
        <w:t>Suite à donner. Les points 1 à 5 et 7 à 12 sont repris dans la PBC pointée (onglet « Points à clarifier ») pour transmission au FPPN. Le point 6 est à signaler oralement. Les points 13 à 18 figurent dans le rapport de façon générale et seront discutés avec le chef de mission avant toute diffusion.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eastAsia="Helvetic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