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E068" w14:textId="6EA0D547" w:rsidR="0021184D" w:rsidRPr="00AA366B" w:rsidRDefault="00C22430" w:rsidP="00982CCB">
      <w:pPr>
        <w:rPr>
          <w:b/>
          <w:kern w:val="36"/>
          <w:sz w:val="40"/>
          <w:szCs w:val="40"/>
        </w:rPr>
      </w:pPr>
      <w:r w:rsidRPr="00AA366B">
        <w:rPr>
          <w:rFonts w:eastAsia="Calibri"/>
          <w:noProof/>
        </w:rPr>
        <mc:AlternateContent>
          <mc:Choice Requires="wps">
            <w:drawing>
              <wp:anchor distT="0" distB="0" distL="114300" distR="114300" simplePos="0" relativeHeight="251658243" behindDoc="0" locked="0" layoutInCell="1" allowOverlap="1" wp14:anchorId="026DE20C" wp14:editId="2B22E47A">
                <wp:simplePos x="0" y="0"/>
                <wp:positionH relativeFrom="margin">
                  <wp:posOffset>-495300</wp:posOffset>
                </wp:positionH>
                <wp:positionV relativeFrom="page">
                  <wp:align>top</wp:align>
                </wp:positionV>
                <wp:extent cx="7610475" cy="11727180"/>
                <wp:effectExtent l="0" t="0" r="28575" b="26670"/>
                <wp:wrapNone/>
                <wp:docPr id="829031439" name="Rectangle 1">
                  <a:extLst xmlns:a="http://schemas.openxmlformats.org/drawingml/2006/main">
                    <a:ext uri="{FF2B5EF4-FFF2-40B4-BE49-F238E27FC236}">
                      <a16:creationId xmlns:a16="http://schemas.microsoft.com/office/drawing/2014/main" id="{15034F6A-A373-4142-A313-D79ED513E829}"/>
                    </a:ext>
                  </a:extLst>
                </wp:docPr>
                <wp:cNvGraphicFramePr/>
                <a:graphic xmlns:a="http://schemas.openxmlformats.org/drawingml/2006/main">
                  <a:graphicData uri="http://schemas.microsoft.com/office/word/2010/wordprocessingShape">
                    <wps:wsp>
                      <wps:cNvSpPr/>
                      <wps:spPr>
                        <a:xfrm>
                          <a:off x="0" y="0"/>
                          <a:ext cx="7610475" cy="11727180"/>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2AF2C12" id="Rectangle 1" o:spid="_x0000_s1026" style="position:absolute;margin-left:-39pt;margin-top:0;width:599.25pt;height:923.4pt;z-index:251658242;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" fillcolor="windowText" strokeweight="1pt">
                <w10:wrap anchorx="margin" anchory="page"/>
              </v:rect>
            </w:pict>
          </mc:Fallback>
        </mc:AlternateContent>
      </w:r>
      <w:r w:rsidR="00232458">
        <w:rPr>
          <w:noProof/>
          <w14:ligatures w14:val="standardContextual"/>
        </w:rPr>
        <mc:AlternateContent>
          <mc:Choice Requires="wps">
            <w:drawing>
              <wp:anchor distT="0" distB="0" distL="114300" distR="114300" simplePos="0" relativeHeight="251658279" behindDoc="0" locked="0" layoutInCell="1" allowOverlap="1" wp14:anchorId="64A982D2" wp14:editId="7C8B2D91">
                <wp:simplePos x="0" y="0"/>
                <wp:positionH relativeFrom="column">
                  <wp:posOffset>3912073</wp:posOffset>
                </wp:positionH>
                <wp:positionV relativeFrom="paragraph">
                  <wp:posOffset>0</wp:posOffset>
                </wp:positionV>
                <wp:extent cx="2920365" cy="1409700"/>
                <wp:effectExtent l="0" t="0" r="0" b="0"/>
                <wp:wrapNone/>
                <wp:docPr id="12" name="Rectangle 11"/>
                <wp:cNvGraphicFramePr/>
                <a:graphic xmlns:a="http://schemas.openxmlformats.org/drawingml/2006/main">
                  <a:graphicData uri="http://schemas.microsoft.com/office/word/2010/wordprocessingShape">
                    <wps:wsp>
                      <wps:cNvSpPr/>
                      <wps:spPr>
                        <a:xfrm>
                          <a:off x="0" y="0"/>
                          <a:ext cx="2920365" cy="1409700"/>
                        </a:xfrm>
                        <a:prstGeom prst="rect">
                          <a:avLst/>
                        </a:prstGeom>
                      </wps:spPr>
                      <wps:txbx>
                        <w:txbxContent>
                          <w:p w14:paraId="2EAED1C4" w14:textId="511003E9" w:rsidR="0063550D" w:rsidRPr="00232458" w:rsidRDefault="0063550D" w:rsidP="000F5AE5">
                            <w:pPr>
                              <w:pStyle w:val="NoSpacing"/>
                              <w:jc w:val="left"/>
                              <w:rPr>
                                <w:color w:val="FFFFFF" w:themeColor="background1"/>
                                <w:sz w:val="18"/>
                                <w:szCs w:val="18"/>
                              </w:rPr>
                            </w:pPr>
                            <w:r w:rsidRPr="00232458">
                              <w:rPr>
                                <w:color w:val="FFFFFF" w:themeColor="background1"/>
                                <w:sz w:val="18"/>
                                <w:szCs w:val="18"/>
                              </w:rPr>
                              <w:t>SA au Capital de 100 millions FCFA Immeuble le 24, 3e étage</w:t>
                            </w:r>
                            <w:r w:rsidR="000F5AE5" w:rsidRPr="00232458">
                              <w:rPr>
                                <w:color w:val="FFFFFF" w:themeColor="background1"/>
                                <w:sz w:val="18"/>
                                <w:szCs w:val="18"/>
                              </w:rPr>
                              <w:br/>
                              <w:t>B</w:t>
                            </w:r>
                            <w:r w:rsidRPr="00232458">
                              <w:rPr>
                                <w:color w:val="FFFFFF" w:themeColor="background1"/>
                                <w:sz w:val="18"/>
                                <w:szCs w:val="18"/>
                              </w:rPr>
                              <w:t xml:space="preserve">oulevard Clozel, Plateau, Abidjan </w:t>
                            </w:r>
                            <w:r w:rsidR="000F5AE5" w:rsidRPr="00232458">
                              <w:rPr>
                                <w:color w:val="FFFFFF" w:themeColor="background1"/>
                                <w:sz w:val="18"/>
                                <w:szCs w:val="18"/>
                              </w:rPr>
                              <w:br/>
                            </w:r>
                            <w:r w:rsidRPr="00232458">
                              <w:rPr>
                                <w:color w:val="FFFFFF" w:themeColor="background1"/>
                                <w:sz w:val="18"/>
                                <w:szCs w:val="18"/>
                              </w:rPr>
                              <w:t>06 BPM 459 Abidjan 06, Côte d’ivoire</w:t>
                            </w:r>
                            <w:r w:rsidR="000F5AE5" w:rsidRPr="00232458">
                              <w:rPr>
                                <w:color w:val="FFFFFF" w:themeColor="background1"/>
                                <w:sz w:val="18"/>
                                <w:szCs w:val="18"/>
                              </w:rPr>
                              <w:br/>
                            </w:r>
                            <w:r w:rsidRPr="00232458">
                              <w:rPr>
                                <w:color w:val="FFFFFF" w:themeColor="background1"/>
                                <w:sz w:val="18"/>
                                <w:szCs w:val="18"/>
                              </w:rPr>
                              <w:t>NCC : 2404702K</w:t>
                            </w:r>
                            <w:r w:rsidR="000F5AE5" w:rsidRPr="00232458">
                              <w:rPr>
                                <w:color w:val="FFFFFF" w:themeColor="background1"/>
                                <w:sz w:val="18"/>
                                <w:szCs w:val="18"/>
                              </w:rPr>
                              <w:br/>
                            </w:r>
                            <w:r w:rsidRPr="00232458">
                              <w:rPr>
                                <w:color w:val="FFFFFF" w:themeColor="background1"/>
                                <w:sz w:val="18"/>
                                <w:szCs w:val="18"/>
                              </w:rPr>
                              <w:t xml:space="preserve">RCCM : CI-ABJ-03-2024-B14-00114 </w:t>
                            </w:r>
                            <w:r w:rsidR="000F5AE5" w:rsidRPr="00232458">
                              <w:rPr>
                                <w:color w:val="FFFFFF" w:themeColor="background1"/>
                                <w:sz w:val="18"/>
                                <w:szCs w:val="18"/>
                              </w:rPr>
                              <w:br/>
                            </w:r>
                            <w:r w:rsidRPr="00232458">
                              <w:rPr>
                                <w:color w:val="FFFFFF" w:themeColor="background1"/>
                                <w:sz w:val="18"/>
                                <w:szCs w:val="18"/>
                              </w:rPr>
                              <w:t xml:space="preserve">Tel (225) 27 20 33 90 90 </w:t>
                            </w:r>
                            <w:r w:rsidR="000F5AE5" w:rsidRPr="00232458">
                              <w:rPr>
                                <w:color w:val="FFFFFF" w:themeColor="background1"/>
                                <w:sz w:val="18"/>
                                <w:szCs w:val="18"/>
                              </w:rPr>
                              <w:br/>
                            </w:r>
                            <w:r w:rsidRPr="00232458">
                              <w:rPr>
                                <w:color w:val="FFFFFF" w:themeColor="background1"/>
                                <w:sz w:val="18"/>
                                <w:szCs w:val="18"/>
                              </w:rPr>
                              <w:t>www.adenka.ci</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64A982D2" id="Rectangle 11" o:spid="_x0000_s1026" style="position:absolute;left:0;text-align:left;margin-left:308.05pt;margin-top:0;width:229.95pt;height:111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" filled="f" stroked="f">
                <v:textbox>
                  <w:txbxContent>
                    <w:p w14:paraId="2EAED1C4" w14:textId="511003E9" w:rsidR="0063550D" w:rsidRPr="00232458" w:rsidRDefault="0063550D" w:rsidP="000F5AE5">
                      <w:pPr>
                        <w:pStyle w:val="NoSpacing"/>
                        <w:jc w:val="left"/>
                        <w:rPr>
                          <w:color w:val="FFFFFF" w:themeColor="background1"/>
                          <w:sz w:val="18"/>
                          <w:szCs w:val="18"/>
                        </w:rPr>
                      </w:pPr>
                      <w:r w:rsidRPr="00232458">
                        <w:rPr>
                          <w:color w:val="FFFFFF" w:themeColor="background1"/>
                          <w:sz w:val="18"/>
                          <w:szCs w:val="18"/>
                        </w:rPr>
                        <w:t>SA au Capital de 100 millions FCFA Immeuble le 24, 3e étage</w:t>
                      </w:r>
                      <w:r w:rsidR="000F5AE5" w:rsidRPr="00232458">
                        <w:rPr>
                          <w:color w:val="FFFFFF" w:themeColor="background1"/>
                          <w:sz w:val="18"/>
                          <w:szCs w:val="18"/>
                        </w:rPr>
                        <w:br/>
                        <w:t>B</w:t>
                      </w:r>
                      <w:r w:rsidRPr="00232458">
                        <w:rPr>
                          <w:color w:val="FFFFFF" w:themeColor="background1"/>
                          <w:sz w:val="18"/>
                          <w:szCs w:val="18"/>
                        </w:rPr>
                        <w:t xml:space="preserve">oulevard Clozel, Plateau, Abidjan </w:t>
                      </w:r>
                      <w:r w:rsidR="000F5AE5" w:rsidRPr="00232458">
                        <w:rPr>
                          <w:color w:val="FFFFFF" w:themeColor="background1"/>
                          <w:sz w:val="18"/>
                          <w:szCs w:val="18"/>
                        </w:rPr>
                        <w:br/>
                      </w:r>
                      <w:r w:rsidRPr="00232458">
                        <w:rPr>
                          <w:color w:val="FFFFFF" w:themeColor="background1"/>
                          <w:sz w:val="18"/>
                          <w:szCs w:val="18"/>
                        </w:rPr>
                        <w:t>06 BPM 459 Abidjan 06, Côte d’ivoire</w:t>
                      </w:r>
                      <w:r w:rsidR="000F5AE5" w:rsidRPr="00232458">
                        <w:rPr>
                          <w:color w:val="FFFFFF" w:themeColor="background1"/>
                          <w:sz w:val="18"/>
                          <w:szCs w:val="18"/>
                        </w:rPr>
                        <w:br/>
                      </w:r>
                      <w:r w:rsidRPr="00232458">
                        <w:rPr>
                          <w:color w:val="FFFFFF" w:themeColor="background1"/>
                          <w:sz w:val="18"/>
                          <w:szCs w:val="18"/>
                        </w:rPr>
                        <w:t>NCC : 2404702K</w:t>
                      </w:r>
                      <w:r w:rsidR="000F5AE5" w:rsidRPr="00232458">
                        <w:rPr>
                          <w:color w:val="FFFFFF" w:themeColor="background1"/>
                          <w:sz w:val="18"/>
                          <w:szCs w:val="18"/>
                        </w:rPr>
                        <w:br/>
                      </w:r>
                      <w:r w:rsidRPr="00232458">
                        <w:rPr>
                          <w:color w:val="FFFFFF" w:themeColor="background1"/>
                          <w:sz w:val="18"/>
                          <w:szCs w:val="18"/>
                        </w:rPr>
                        <w:t xml:space="preserve">RCCM : CI-ABJ-03-2024-B14-00114 </w:t>
                      </w:r>
                      <w:r w:rsidR="000F5AE5" w:rsidRPr="00232458">
                        <w:rPr>
                          <w:color w:val="FFFFFF" w:themeColor="background1"/>
                          <w:sz w:val="18"/>
                          <w:szCs w:val="18"/>
                        </w:rPr>
                        <w:br/>
                      </w:r>
                      <w:r w:rsidRPr="00232458">
                        <w:rPr>
                          <w:color w:val="FFFFFF" w:themeColor="background1"/>
                          <w:sz w:val="18"/>
                          <w:szCs w:val="18"/>
                        </w:rPr>
                        <w:t xml:space="preserve">Tel (225) 27 20 33 90 90 </w:t>
                      </w:r>
                      <w:r w:rsidR="000F5AE5" w:rsidRPr="00232458">
                        <w:rPr>
                          <w:color w:val="FFFFFF" w:themeColor="background1"/>
                          <w:sz w:val="18"/>
                          <w:szCs w:val="18"/>
                        </w:rPr>
                        <w:br/>
                      </w:r>
                      <w:r w:rsidRPr="00232458">
                        <w:rPr>
                          <w:color w:val="FFFFFF" w:themeColor="background1"/>
                          <w:sz w:val="18"/>
                          <w:szCs w:val="18"/>
                        </w:rPr>
                        <w:t>www.adenka.ci</w:t>
                      </w:r>
                    </w:p>
                  </w:txbxContent>
                </v:textbox>
              </v:rect>
            </w:pict>
          </mc:Fallback>
        </mc:AlternateContent>
      </w:r>
      <w:r w:rsidR="003837AF">
        <w:rPr>
          <w:noProof/>
          <w14:ligatures w14:val="standardContextual"/>
        </w:rPr>
        <mc:AlternateContent>
          <mc:Choice Requires="wps">
            <w:drawing>
              <wp:anchor distT="0" distB="0" distL="114300" distR="114300" simplePos="0" relativeHeight="251658258" behindDoc="0" locked="0" layoutInCell="1" allowOverlap="1" wp14:anchorId="15625106" wp14:editId="49B68465">
                <wp:simplePos x="0" y="0"/>
                <wp:positionH relativeFrom="margin">
                  <wp:align>left</wp:align>
                </wp:positionH>
                <wp:positionV relativeFrom="paragraph">
                  <wp:posOffset>8886586</wp:posOffset>
                </wp:positionV>
                <wp:extent cx="2042160" cy="574675"/>
                <wp:effectExtent l="0" t="0" r="15240" b="15875"/>
                <wp:wrapNone/>
                <wp:docPr id="214455296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2160" cy="574675"/>
                        </a:xfrm>
                        <a:prstGeom prst="rect">
                          <a:avLst/>
                        </a:prstGeom>
                        <a:noFill/>
                        <a:ln w="9525">
                          <a:solidFill>
                            <a:srgbClr val="000000"/>
                          </a:solidFill>
                          <a:miter lim="800000"/>
                          <a:headEnd/>
                          <a:tailEnd/>
                        </a:ln>
                      </wps:spPr>
                      <wps:txbx>
                        <w:txbxContent>
                          <w:p w14:paraId="3ADF71F1" w14:textId="5E70184B" w:rsidR="005F30A3" w:rsidRPr="0063550D" w:rsidRDefault="0063550D" w:rsidP="005F30A3">
                            <w:pPr>
                              <w:jc w:val="left"/>
                              <w:rPr>
                                <w:b/>
                                <w:bCs/>
                                <w:color w:val="FFFFFF" w:themeColor="background1"/>
                                <w:sz w:val="36"/>
                                <w:szCs w:val="36"/>
                              </w:rPr>
                            </w:pPr>
                            <w:r w:rsidRPr="0063550D">
                              <w:rPr>
                                <w:b/>
                                <w:bCs/>
                                <w:color w:val="FFFFFF" w:themeColor="background1"/>
                                <w:sz w:val="36"/>
                                <w:szCs w:val="36"/>
                              </w:rPr>
                              <w:t>Octobre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625106" id="_x0000_t202" coordsize="21600,21600" o:spt="202" path="m,l,21600r21600,l21600,xe">
                <v:stroke joinstyle="miter"/>
                <v:path gradientshapeok="t" o:connecttype="rect"/>
              </v:shapetype>
              <v:shape id="Zone de texte 2" o:spid="_x0000_s1027" type="#_x0000_t202" style="position:absolute;left:0;text-align:left;margin-left:0;margin-top:699.75pt;width:160.8pt;height:45.25pt;z-index:25165825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" filled="f">
                <v:textbox>
                  <w:txbxContent>
                    <w:p w14:paraId="3ADF71F1" w14:textId="5E70184B" w:rsidR="005F30A3" w:rsidRPr="0063550D" w:rsidRDefault="0063550D" w:rsidP="005F30A3">
                      <w:pPr>
                        <w:jc w:val="left"/>
                        <w:rPr>
                          <w:b/>
                          <w:bCs/>
                          <w:color w:val="FFFFFF" w:themeColor="background1"/>
                          <w:sz w:val="36"/>
                          <w:szCs w:val="36"/>
                        </w:rPr>
                      </w:pPr>
                      <w:r w:rsidRPr="0063550D">
                        <w:rPr>
                          <w:b/>
                          <w:bCs/>
                          <w:color w:val="FFFFFF" w:themeColor="background1"/>
                          <w:sz w:val="36"/>
                          <w:szCs w:val="36"/>
                        </w:rPr>
                        <w:t>Octobre 2026</w:t>
                      </w:r>
                    </w:p>
                  </w:txbxContent>
                </v:textbox>
                <w10:wrap anchorx="margin"/>
              </v:shape>
            </w:pict>
          </mc:Fallback>
        </mc:AlternateContent>
      </w:r>
      <w:r w:rsidR="003837AF">
        <w:rPr>
          <w:noProof/>
          <w14:ligatures w14:val="standardContextual"/>
        </w:rPr>
        <mc:AlternateContent>
          <mc:Choice Requires="wps">
            <w:drawing>
              <wp:anchor distT="0" distB="0" distL="114300" distR="114300" simplePos="0" relativeHeight="251658257" behindDoc="0" locked="0" layoutInCell="1" allowOverlap="1" wp14:anchorId="62CEB9C5" wp14:editId="6E4E0B33">
                <wp:simplePos x="0" y="0"/>
                <wp:positionH relativeFrom="margin">
                  <wp:align>left</wp:align>
                </wp:positionH>
                <wp:positionV relativeFrom="paragraph">
                  <wp:posOffset>8398598</wp:posOffset>
                </wp:positionV>
                <wp:extent cx="6964680" cy="574675"/>
                <wp:effectExtent l="0" t="0" r="26670" b="15875"/>
                <wp:wrapNone/>
                <wp:docPr id="15973047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4680" cy="574675"/>
                        </a:xfrm>
                        <a:prstGeom prst="rect">
                          <a:avLst/>
                        </a:prstGeom>
                        <a:noFill/>
                        <a:ln w="9525">
                          <a:solidFill>
                            <a:srgbClr val="000000"/>
                          </a:solidFill>
                          <a:miter lim="800000"/>
                          <a:headEnd/>
                          <a:tailEnd/>
                        </a:ln>
                      </wps:spPr>
                      <wps:txbx>
                        <w:txbxContent>
                          <w:p w14:paraId="51F74AB0" w14:textId="387257B3" w:rsidR="005F30A3" w:rsidRPr="003A63CB" w:rsidRDefault="005F30A3" w:rsidP="005F30A3">
                            <w:pPr>
                              <w:pStyle w:val="NormalWeb"/>
                              <w:jc w:val="left"/>
                              <w:rPr>
                                <w:rFonts w:ascii="Helvetica" w:hAnsi="Helvetica" w:cs="Helvetica"/>
                                <w:b/>
                                <w:color w:val="B84F08"/>
                                <w:sz w:val="40"/>
                                <w:szCs w:val="40"/>
                                <w:lang w:val="fr-CI"/>
                              </w:rPr>
                            </w:pPr>
                            <w:r w:rsidRPr="003A63CB">
                              <w:rPr>
                                <w:rFonts w:ascii="Helvetica" w:eastAsiaTheme="minorEastAsia" w:hAnsi="Helvetica" w:cs="Helvetica"/>
                                <w:b/>
                                <w:color w:val="B84F08"/>
                                <w:sz w:val="40"/>
                                <w:szCs w:val="40"/>
                                <w:lang w:val="fr-CI"/>
                              </w:rPr>
                              <w:t>Rapport provisoire</w:t>
                            </w:r>
                          </w:p>
                          <w:p w14:paraId="16F931A9" w14:textId="77777777" w:rsidR="005F30A3" w:rsidRPr="003837AF" w:rsidRDefault="005F30A3" w:rsidP="005F30A3">
                            <w:pPr>
                              <w:jc w:val="left"/>
                              <w:rPr>
                                <w:b/>
                                <w:color w:val="FFC000"/>
                                <w:sz w:val="40"/>
                                <w:szCs w:val="40"/>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62CEB9C5" id="_x0000_s1028" type="#_x0000_t202" style="position:absolute;left:0;text-align:left;margin-left:0;margin-top:661.3pt;width:548.4pt;height:45.25pt;z-index:25165825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" filled="f">
                <v:textbox>
                  <w:txbxContent>
                    <w:p w14:paraId="51F74AB0" w14:textId="387257B3" w:rsidR="005F30A3" w:rsidRPr="003A63CB" w:rsidRDefault="005F30A3" w:rsidP="005F30A3">
                      <w:pPr>
                        <w:pStyle w:val="NormalWeb"/>
                        <w:jc w:val="left"/>
                        <w:rPr>
                          <w:rFonts w:ascii="Helvetica" w:hAnsi="Helvetica" w:cs="Helvetica"/>
                          <w:b/>
                          <w:color w:val="B84F08"/>
                          <w:sz w:val="40"/>
                          <w:szCs w:val="40"/>
                          <w:lang w:val="fr-CI"/>
                        </w:rPr>
                      </w:pPr>
                      <w:r w:rsidRPr="003A63CB">
                        <w:rPr>
                          <w:rFonts w:ascii="Helvetica" w:eastAsiaTheme="minorEastAsia" w:hAnsi="Helvetica" w:cs="Helvetica"/>
                          <w:b/>
                          <w:color w:val="B84F08"/>
                          <w:sz w:val="40"/>
                          <w:szCs w:val="40"/>
                          <w:lang w:val="fr-CI"/>
                        </w:rPr>
                        <w:t>Rapport provisoire</w:t>
                      </w:r>
                    </w:p>
                    <w:p w14:paraId="16F931A9" w14:textId="77777777" w:rsidR="005F30A3" w:rsidRPr="003837AF" w:rsidRDefault="005F30A3" w:rsidP="005F30A3">
                      <w:pPr>
                        <w:jc w:val="left"/>
                        <w:rPr>
                          <w:b/>
                          <w:color w:val="FFC000"/>
                          <w:sz w:val="40"/>
                          <w:szCs w:val="40"/>
                        </w:rPr>
                      </w:pPr>
                    </w:p>
                  </w:txbxContent>
                </v:textbox>
                <w10:wrap anchorx="margin"/>
              </v:shape>
            </w:pict>
          </mc:Fallback>
        </mc:AlternateContent>
      </w:r>
      <w:r w:rsidR="003837AF">
        <w:rPr>
          <w:noProof/>
          <w14:ligatures w14:val="standardContextual"/>
        </w:rPr>
        <mc:AlternateContent>
          <mc:Choice Requires="wps">
            <w:drawing>
              <wp:anchor distT="0" distB="0" distL="114300" distR="114300" simplePos="0" relativeHeight="251658271" behindDoc="0" locked="0" layoutInCell="1" allowOverlap="1" wp14:anchorId="3A4D8972" wp14:editId="3FF323AC">
                <wp:simplePos x="0" y="0"/>
                <wp:positionH relativeFrom="column">
                  <wp:posOffset>-176543</wp:posOffset>
                </wp:positionH>
                <wp:positionV relativeFrom="paragraph">
                  <wp:posOffset>2802048</wp:posOffset>
                </wp:positionV>
                <wp:extent cx="6964680" cy="3295392"/>
                <wp:effectExtent l="0" t="0" r="26670" b="1968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4680" cy="3295392"/>
                        </a:xfrm>
                        <a:prstGeom prst="rect">
                          <a:avLst/>
                        </a:prstGeom>
                        <a:noFill/>
                        <a:ln w="9525">
                          <a:solidFill>
                            <a:srgbClr val="000000"/>
                          </a:solidFill>
                          <a:miter lim="800000"/>
                          <a:headEnd/>
                          <a:tailEnd/>
                        </a:ln>
                      </wps:spPr>
                      <wps:txbx>
                        <w:txbxContent>
                          <w:p w14:paraId="2DE01120" w14:textId="5D436776" w:rsidR="00B77556" w:rsidRPr="003837AF" w:rsidRDefault="00B77556" w:rsidP="005F30A3">
                            <w:pPr>
                              <w:pStyle w:val="NormalWeb"/>
                              <w:jc w:val="left"/>
                              <w:rPr>
                                <w:rFonts w:ascii="Helvetica" w:eastAsiaTheme="minorEastAsia" w:hAnsi="Helvetica" w:cs="Helvetica"/>
                                <w:b/>
                                <w:bCs/>
                                <w:color w:val="FFFFFF" w:themeColor="background1"/>
                                <w:sz w:val="72"/>
                                <w:szCs w:val="72"/>
                                <w:lang w:val="fr-CI"/>
                              </w:rPr>
                            </w:pPr>
                            <w:r w:rsidRPr="00D32BCF">
                              <w:rPr>
                                <w:rFonts w:ascii="Helvetica" w:eastAsiaTheme="minorEastAsia" w:hAnsi="Helvetica" w:cs="Helvetica"/>
                                <w:b/>
                                <w:bCs/>
                                <w:color w:val="FFFFFF" w:themeColor="background1"/>
                                <w:sz w:val="72"/>
                                <w:szCs w:val="72"/>
                                <w:lang w:val="fr-CI"/>
                              </w:rPr>
                              <w:t xml:space="preserve">RÉSUMÉ EXÉCUTIF DU VOLET ACTUARIEL</w:t>
                            </w:r>
                          </w:p>
                          <w:p w14:paraId="2C32D6ED" w14:textId="77777777" w:rsidR="00B77556" w:rsidRDefault="00B77556" w:rsidP="005F30A3">
                            <w:pPr>
                              <w:pStyle w:val="NormalWeb"/>
                              <w:jc w:val="left"/>
                              <w:rPr>
                                <w:rFonts w:ascii="Helvetica" w:eastAsiaTheme="minorEastAsia" w:hAnsi="Helvetica" w:cs="Helvetica"/>
                                <w:b/>
                                <w:bCs/>
                                <w:color w:val="FFFFFF" w:themeColor="background1"/>
                                <w:sz w:val="56"/>
                                <w:szCs w:val="56"/>
                                <w:lang w:val="fr-CI"/>
                              </w:rPr>
                            </w:pPr>
                          </w:p>
                          <w:p w14:paraId="0D003451" w14:textId="77777777" w:rsidR="00B77556" w:rsidRDefault="00B77556" w:rsidP="005F30A3">
                            <w:pPr>
                              <w:pStyle w:val="NormalWeb"/>
                              <w:jc w:val="left"/>
                              <w:rPr>
                                <w:rFonts w:ascii="Helvetica" w:eastAsiaTheme="minorEastAsia" w:hAnsi="Helvetica" w:cs="Helvetica"/>
                                <w:b/>
                                <w:bCs/>
                                <w:color w:val="FFFFFF" w:themeColor="background1"/>
                                <w:sz w:val="56"/>
                                <w:szCs w:val="56"/>
                                <w:lang w:val="fr-CI"/>
                              </w:rPr>
                            </w:pPr>
                          </w:p>
                          <w:p w14:paraId="530D1C6F" w14:textId="77777777" w:rsidR="003837AF" w:rsidRDefault="003837AF" w:rsidP="005F30A3">
                            <w:pPr>
                              <w:pStyle w:val="NormalWeb"/>
                              <w:jc w:val="left"/>
                              <w:rPr>
                                <w:rFonts w:ascii="Helvetica" w:eastAsiaTheme="minorEastAsia" w:hAnsi="Helvetica" w:cs="Helvetica"/>
                                <w:b/>
                                <w:bCs/>
                                <w:color w:val="E97132" w:themeColor="accent2"/>
                                <w:sz w:val="40"/>
                                <w:szCs w:val="40"/>
                                <w:lang w:val="fr-CI"/>
                              </w:rPr>
                            </w:pPr>
                          </w:p>
                          <w:p w14:paraId="69CB7BF6" w14:textId="3908B474" w:rsidR="005F30A3" w:rsidRPr="003A63CB" w:rsidRDefault="00B77556" w:rsidP="005F30A3">
                            <w:pPr>
                              <w:pStyle w:val="NormalWeb"/>
                              <w:jc w:val="left"/>
                              <w:rPr>
                                <w:rFonts w:ascii="Helvetica" w:hAnsi="Helvetica" w:cs="Helvetica"/>
                                <w:b/>
                                <w:color w:val="FFFFFF" w:themeColor="background1"/>
                                <w:sz w:val="40"/>
                                <w:szCs w:val="40"/>
                                <w:lang w:val="fr-CI"/>
                              </w:rPr>
                            </w:pPr>
                            <w:r w:rsidRPr="003A63CB">
                              <w:rPr>
                                <w:rFonts w:ascii="Helvetica" w:eastAsiaTheme="minorEastAsia" w:hAnsi="Helvetica" w:cs="Helvetica"/>
                                <w:b/>
                                <w:color w:val="FFFFFF" w:themeColor="background1"/>
                                <w:sz w:val="40"/>
                                <w:szCs w:val="40"/>
                                <w:lang w:val="fr-CI"/>
                              </w:rPr>
                              <w:t>FPPN</w:t>
                            </w:r>
                          </w:p>
                          <w:p w14:paraId="2215AE94" w14:textId="0221E7EF" w:rsidR="005F30A3" w:rsidRPr="005F30A3" w:rsidRDefault="005F30A3" w:rsidP="005F30A3">
                            <w:pPr>
                              <w:jc w:val="left"/>
                              <w:rPr>
                                <w:b/>
                                <w:bCs/>
                                <w:color w:val="FFFFFF" w:themeColor="background1"/>
                                <w:sz w:val="56"/>
                                <w:szCs w:val="56"/>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A4D8972" id="_x0000_s1029" type="#_x0000_t202" style="position:absolute;left:0;text-align:left;margin-left:-13.9pt;margin-top:220.65pt;width:548.4pt;height:259.5pt;z-index:25165827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" filled="f">
                <v:textbox>
                  <w:txbxContent>
                    <w:p w14:paraId="2DE01120" w14:textId="5D436776" w:rsidR="00B77556" w:rsidRPr="003837AF" w:rsidRDefault="00B77556" w:rsidP="005F30A3">
                      <w:pPr>
                        <w:pStyle w:val="NormalWeb"/>
                        <w:jc w:val="left"/>
                        <w:rPr>
                          <w:rFonts w:ascii="Helvetica" w:eastAsiaTheme="minorEastAsia" w:hAnsi="Helvetica" w:cs="Helvetica"/>
                          <w:b/>
                          <w:bCs/>
                          <w:color w:val="FFFFFF" w:themeColor="background1"/>
                          <w:sz w:val="72"/>
                          <w:szCs w:val="72"/>
                          <w:lang w:val="fr-CI"/>
                        </w:rPr>
                      </w:pPr>
                      <w:r w:rsidRPr="00D32BCF">
                        <w:rPr>
                          <w:rFonts w:ascii="Helvetica" w:eastAsiaTheme="minorEastAsia" w:hAnsi="Helvetica" w:cs="Helvetica"/>
                          <w:b/>
                          <w:bCs/>
                          <w:color w:val="FFFFFF" w:themeColor="background1"/>
                          <w:sz w:val="72"/>
                          <w:szCs w:val="72"/>
                          <w:lang w:val="fr-CI"/>
                        </w:rPr>
                        <w:t xml:space="preserve">RÉSUMÉ EXÉCUTIF DU VOLET ACTUARIEL</w:t>
                      </w:r>
                    </w:p>
                    <w:p w14:paraId="2C32D6ED" w14:textId="77777777" w:rsidR="00B77556" w:rsidRDefault="00B77556" w:rsidP="005F30A3">
                      <w:pPr>
                        <w:pStyle w:val="NormalWeb"/>
                        <w:jc w:val="left"/>
                        <w:rPr>
                          <w:rFonts w:ascii="Helvetica" w:eastAsiaTheme="minorEastAsia" w:hAnsi="Helvetica" w:cs="Helvetica"/>
                          <w:b/>
                          <w:bCs/>
                          <w:color w:val="FFFFFF" w:themeColor="background1"/>
                          <w:sz w:val="56"/>
                          <w:szCs w:val="56"/>
                          <w:lang w:val="fr-CI"/>
                        </w:rPr>
                      </w:pPr>
                    </w:p>
                    <w:p w14:paraId="0D003451" w14:textId="77777777" w:rsidR="00B77556" w:rsidRDefault="00B77556" w:rsidP="005F30A3">
                      <w:pPr>
                        <w:pStyle w:val="NormalWeb"/>
                        <w:jc w:val="left"/>
                        <w:rPr>
                          <w:rFonts w:ascii="Helvetica" w:eastAsiaTheme="minorEastAsia" w:hAnsi="Helvetica" w:cs="Helvetica"/>
                          <w:b/>
                          <w:bCs/>
                          <w:color w:val="FFFFFF" w:themeColor="background1"/>
                          <w:sz w:val="56"/>
                          <w:szCs w:val="56"/>
                          <w:lang w:val="fr-CI"/>
                        </w:rPr>
                      </w:pPr>
                    </w:p>
                    <w:p w14:paraId="530D1C6F" w14:textId="77777777" w:rsidR="003837AF" w:rsidRDefault="003837AF" w:rsidP="005F30A3">
                      <w:pPr>
                        <w:pStyle w:val="NormalWeb"/>
                        <w:jc w:val="left"/>
                        <w:rPr>
                          <w:rFonts w:ascii="Helvetica" w:eastAsiaTheme="minorEastAsia" w:hAnsi="Helvetica" w:cs="Helvetica"/>
                          <w:b/>
                          <w:bCs/>
                          <w:color w:val="E97132" w:themeColor="accent2"/>
                          <w:sz w:val="40"/>
                          <w:szCs w:val="40"/>
                          <w:lang w:val="fr-CI"/>
                        </w:rPr>
                      </w:pPr>
                    </w:p>
                    <w:p w14:paraId="69CB7BF6" w14:textId="3908B474" w:rsidR="005F30A3" w:rsidRPr="003A63CB" w:rsidRDefault="00B77556" w:rsidP="005F30A3">
                      <w:pPr>
                        <w:pStyle w:val="NormalWeb"/>
                        <w:jc w:val="left"/>
                        <w:rPr>
                          <w:rFonts w:ascii="Helvetica" w:hAnsi="Helvetica" w:cs="Helvetica"/>
                          <w:b/>
                          <w:color w:val="FFFFFF" w:themeColor="background1"/>
                          <w:sz w:val="40"/>
                          <w:szCs w:val="40"/>
                          <w:lang w:val="fr-CI"/>
                        </w:rPr>
                      </w:pPr>
                      <w:r w:rsidRPr="003A63CB">
                        <w:rPr>
                          <w:rFonts w:ascii="Helvetica" w:eastAsiaTheme="minorEastAsia" w:hAnsi="Helvetica" w:cs="Helvetica"/>
                          <w:b/>
                          <w:color w:val="FFFFFF" w:themeColor="background1"/>
                          <w:sz w:val="40"/>
                          <w:szCs w:val="40"/>
                          <w:lang w:val="fr-CI"/>
                        </w:rPr>
                        <w:t>FPPN</w:t>
                      </w:r>
                    </w:p>
                    <w:p w14:paraId="2215AE94" w14:textId="0221E7EF" w:rsidR="005F30A3" w:rsidRPr="005F30A3" w:rsidRDefault="005F30A3" w:rsidP="005F30A3">
                      <w:pPr>
                        <w:jc w:val="left"/>
                        <w:rPr>
                          <w:b/>
                          <w:bCs/>
                          <w:color w:val="FFFFFF" w:themeColor="background1"/>
                          <w:sz w:val="56"/>
                          <w:szCs w:val="56"/>
                        </w:rPr>
                      </w:pPr>
                    </w:p>
                  </w:txbxContent>
                </v:textbox>
              </v:shape>
            </w:pict>
          </mc:Fallback>
        </mc:AlternateContent>
      </w:r>
      <w:r w:rsidR="00B7131C" w:rsidRPr="00AA366B">
        <w:rPr>
          <w:noProof/>
        </w:rPr>
        <w:drawing>
          <wp:anchor distT="0" distB="0" distL="114300" distR="114300" simplePos="0" relativeHeight="251658268" behindDoc="0" locked="0" layoutInCell="1" allowOverlap="1" wp14:anchorId="0DEC0A8C" wp14:editId="2EE6107A">
            <wp:simplePos x="0" y="0"/>
            <wp:positionH relativeFrom="margin">
              <wp:align>left</wp:align>
            </wp:positionH>
            <wp:positionV relativeFrom="margin">
              <wp:align>top</wp:align>
            </wp:positionV>
            <wp:extent cx="2590800" cy="614680"/>
            <wp:effectExtent l="0" t="0" r="0" b="0"/>
            <wp:wrapNone/>
            <wp:docPr id="246454023" name="Image 23">
              <a:extLst xmlns:a="http://schemas.openxmlformats.org/drawingml/2006/main">
                <a:ext uri="{FF2B5EF4-FFF2-40B4-BE49-F238E27FC236}">
                  <a16:creationId xmlns:a16="http://schemas.microsoft.com/office/drawing/2014/main" id="{85B8DD99-990F-4649-B67D-96F3516835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14017" name="Image 527514017"/>
                    <pic:cNvPicPr/>
                  </pic:nvPicPr>
                  <pic:blipFill>
                    <a:blip r:embed="rId12">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90800" cy="614680"/>
                    </a:xfrm>
                    <a:prstGeom prst="rect">
                      <a:avLst/>
                    </a:prstGeom>
                  </pic:spPr>
                </pic:pic>
              </a:graphicData>
            </a:graphic>
            <wp14:sizeRelH relativeFrom="page">
              <wp14:pctWidth>0</wp14:pctWidth>
            </wp14:sizeRelH>
            <wp14:sizeRelV relativeFrom="page">
              <wp14:pctHeight>0</wp14:pctHeight>
            </wp14:sizeRelV>
          </wp:anchor>
        </w:drawing>
      </w:r>
      <w:r w:rsidR="00361B05" w:rsidRPr="00AA366B">
        <w:rPr>
          <w:noProof/>
        </w:rPr>
        <w:drawing>
          <wp:anchor distT="0" distB="0" distL="114300" distR="114300" simplePos="0" relativeHeight="251658245" behindDoc="0" locked="0" layoutInCell="1" allowOverlap="1" wp14:anchorId="6C4349CB" wp14:editId="2E229699">
            <wp:simplePos x="0" y="0"/>
            <wp:positionH relativeFrom="page">
              <wp:posOffset>-684530</wp:posOffset>
            </wp:positionH>
            <wp:positionV relativeFrom="paragraph">
              <wp:posOffset>1878965</wp:posOffset>
            </wp:positionV>
            <wp:extent cx="8293735" cy="7976235"/>
            <wp:effectExtent l="0" t="0" r="0" b="5715"/>
            <wp:wrapNone/>
            <wp:docPr id="1895204845" name="Image 15">
              <a:extLst xmlns:a="http://schemas.openxmlformats.org/drawingml/2006/main">
                <a:ext uri="{FF2B5EF4-FFF2-40B4-BE49-F238E27FC236}">
                  <a16:creationId xmlns:a16="http://schemas.microsoft.com/office/drawing/2014/main" id="{C8AC2246-CCF0-4C0C-B1BE-88C1E8DADC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pic:cNvPicPr>
                      <a:picLocks noChangeAspect="1"/>
                    </pic:cNvPicPr>
                  </pic:nvPicPr>
                  <pic:blipFill rotWithShape="1">
                    <a:blip r:embed="rId13" cstate="print">
                      <a:extLst>
                        <a:ext uri="{28A0092B-C50C-407E-A947-70E740481C1C}">
                          <a14:useLocalDpi xmlns:a14="http://schemas.microsoft.com/office/drawing/2010/main" val="0"/>
                        </a:ext>
                      </a:extLst>
                    </a:blip>
                    <a:srcRect l="-175" t="524" r="-2445" b="9082"/>
                    <a:stretch/>
                  </pic:blipFill>
                  <pic:spPr>
                    <a:xfrm>
                      <a:off x="0" y="0"/>
                      <a:ext cx="8293735" cy="7976235"/>
                    </a:xfrm>
                    <a:prstGeom prst="rect">
                      <a:avLst/>
                    </a:prstGeom>
                  </pic:spPr>
                </pic:pic>
              </a:graphicData>
            </a:graphic>
            <wp14:sizeRelH relativeFrom="margin">
              <wp14:pctWidth>0</wp14:pctWidth>
            </wp14:sizeRelH>
            <wp14:sizeRelV relativeFrom="margin">
              <wp14:pctHeight>0</wp14:pctHeight>
            </wp14:sizeRelV>
          </wp:anchor>
        </w:drawing>
      </w:r>
      <w:r w:rsidR="006E4175" w:rsidRPr="00AA366B">
        <w:rPr>
          <w:noProof/>
        </w:rPr>
        <mc:AlternateContent>
          <mc:Choice Requires="wps">
            <w:drawing>
              <wp:anchor distT="0" distB="0" distL="114300" distR="114300" simplePos="0" relativeHeight="251658247" behindDoc="0" locked="0" layoutInCell="1" allowOverlap="1" wp14:anchorId="6AFB2247" wp14:editId="7FF83994">
                <wp:simplePos x="0" y="0"/>
                <wp:positionH relativeFrom="margin">
                  <wp:align>left</wp:align>
                </wp:positionH>
                <wp:positionV relativeFrom="paragraph">
                  <wp:posOffset>7531735</wp:posOffset>
                </wp:positionV>
                <wp:extent cx="5231218" cy="765544"/>
                <wp:effectExtent l="0" t="0" r="26670" b="15875"/>
                <wp:wrapNone/>
                <wp:docPr id="209815566" name="Zone de texte 7">
                  <a:extLst xmlns:a="http://schemas.openxmlformats.org/drawingml/2006/main">
                    <a:ext uri="{FF2B5EF4-FFF2-40B4-BE49-F238E27FC236}">
                      <a16:creationId xmlns:a16="http://schemas.microsoft.com/office/drawing/2014/main" id="{DE632AC5-CD51-4C5C-9CCB-0CF09FBAC3A4}"/>
                    </a:ext>
                  </a:extLst>
                </wp:docPr>
                <wp:cNvGraphicFramePr/>
                <a:graphic xmlns:a="http://schemas.openxmlformats.org/drawingml/2006/main">
                  <a:graphicData uri="http://schemas.microsoft.com/office/word/2010/wordprocessingShape">
                    <wps:wsp>
                      <wps:cNvSpPr txBox="1"/>
                      <wps:spPr>
                        <a:xfrm>
                          <a:off x="0" y="0"/>
                          <a:ext cx="5231218" cy="765544"/>
                        </a:xfrm>
                        <a:prstGeom prst="rect">
                          <a:avLst/>
                        </a:prstGeom>
                        <a:noFill/>
                        <a:ln w="6350">
                          <a:solidFill>
                            <a:prstClr val="black"/>
                          </a:solidFill>
                        </a:ln>
                      </wps:spPr>
                      <wps:txbx>
                        <w:txbxContent>
                          <w:p w14:paraId="2250314D" w14:textId="69828676" w:rsidR="008E1886" w:rsidRPr="00AA366B" w:rsidRDefault="008E1886" w:rsidP="00982CCB">
                            <w:r w:rsidRPr="00AA366B">
                              <w:t>Rapport</w:t>
                            </w:r>
                            <w:r w:rsidR="00484807" w:rsidRPr="00AA366B">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FB2247" id="Zone de texte 7" o:spid="_x0000_s1030" type="#_x0000_t202" style="position:absolute;left:0;text-align:left;margin-left:0;margin-top:593.05pt;width:411.9pt;height:60.3pt;z-index:251658247;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" filled="f" strokeweight=".5pt">
                <v:textbox>
                  <w:txbxContent>
                    <w:p w14:paraId="2250314D" w14:textId="69828676" w:rsidR="008E1886" w:rsidRPr="00AA366B" w:rsidRDefault="008E1886" w:rsidP="00982CCB">
                      <w:r w:rsidRPr="00AA366B">
                        <w:t>Rapport</w:t>
                      </w:r>
                      <w:r w:rsidR="00484807" w:rsidRPr="00AA366B">
                        <w:t xml:space="preserve"/>
                      </w:r>
                    </w:p>
                  </w:txbxContent>
                </v:textbox>
                <w10:wrap anchorx="margin"/>
              </v:shape>
            </w:pict>
          </mc:Fallback>
        </mc:AlternateContent>
      </w:r>
      <w:r w:rsidR="006E4175" w:rsidRPr="00AA366B">
        <w:rPr>
          <w:noProof/>
        </w:rPr>
        <mc:AlternateContent>
          <mc:Choice Requires="wps">
            <w:drawing>
              <wp:anchor distT="0" distB="0" distL="114300" distR="114300" simplePos="0" relativeHeight="251658248" behindDoc="0" locked="0" layoutInCell="1" allowOverlap="1" wp14:anchorId="38A4CCDE" wp14:editId="70C5E656">
                <wp:simplePos x="0" y="0"/>
                <wp:positionH relativeFrom="margin">
                  <wp:align>left</wp:align>
                </wp:positionH>
                <wp:positionV relativeFrom="paragraph">
                  <wp:posOffset>8114030</wp:posOffset>
                </wp:positionV>
                <wp:extent cx="2838893" cy="552893"/>
                <wp:effectExtent l="0" t="0" r="19050" b="19050"/>
                <wp:wrapNone/>
                <wp:docPr id="1452213972" name="Zone de texte 8">
                  <a:extLst xmlns:a="http://schemas.openxmlformats.org/drawingml/2006/main">
                    <a:ext uri="{FF2B5EF4-FFF2-40B4-BE49-F238E27FC236}">
                      <a16:creationId xmlns:a16="http://schemas.microsoft.com/office/drawing/2014/main" id="{CD9B45CA-AC2D-4642-869A-DF1E480132C7}"/>
                    </a:ext>
                  </a:extLst>
                </wp:docPr>
                <wp:cNvGraphicFramePr/>
                <a:graphic xmlns:a="http://schemas.openxmlformats.org/drawingml/2006/main">
                  <a:graphicData uri="http://schemas.microsoft.com/office/word/2010/wordprocessingShape">
                    <wps:wsp>
                      <wps:cNvSpPr txBox="1"/>
                      <wps:spPr>
                        <a:xfrm>
                          <a:off x="0" y="0"/>
                          <a:ext cx="2838893" cy="552893"/>
                        </a:xfrm>
                        <a:prstGeom prst="rect">
                          <a:avLst/>
                        </a:prstGeom>
                        <a:noFill/>
                        <a:ln w="6350">
                          <a:solidFill>
                            <a:prstClr val="black"/>
                          </a:solidFill>
                        </a:ln>
                      </wps:spPr>
                      <wps:txbx>
                        <w:txbxContent>
                          <w:p w14:paraId="36E9AAB6" w14:textId="3EB9BEEB" w:rsidR="00E849B3" w:rsidRPr="00AA366B" w:rsidRDefault="00E849B3" w:rsidP="00982CCB">
                            <w:r w:rsidRPr="00AA366B">
                              <w:t>Octobre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A4CCDE" id="Zone de texte 8" o:spid="_x0000_s1031" type="#_x0000_t202" style="position:absolute;left:0;text-align:left;margin-left:0;margin-top:638.9pt;width:223.55pt;height:43.55pt;z-index:2516582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" filled="f" strokeweight=".5pt">
                <v:textbox>
                  <w:txbxContent>
                    <w:p w14:paraId="36E9AAB6" w14:textId="3EB9BEEB" w:rsidR="00E849B3" w:rsidRPr="00AA366B" w:rsidRDefault="00E849B3" w:rsidP="00982CCB">
                      <w:r w:rsidRPr="00AA366B">
                        <w:t>Octobre 2026</w:t>
                      </w:r>
                    </w:p>
                  </w:txbxContent>
                </v:textbox>
                <w10:wrap anchorx="margin"/>
              </v:shape>
            </w:pict>
          </mc:Fallback>
        </mc:AlternateContent>
      </w:r>
      <w:r w:rsidR="006E4175" w:rsidRPr="00AA366B">
        <w:rPr>
          <w:noProof/>
        </w:rPr>
        <mc:AlternateContent>
          <mc:Choice Requires="wps">
            <w:drawing>
              <wp:anchor distT="0" distB="0" distL="114300" distR="114300" simplePos="0" relativeHeight="251658246" behindDoc="0" locked="0" layoutInCell="1" allowOverlap="1" wp14:anchorId="27AE4808" wp14:editId="7AF4708C">
                <wp:simplePos x="0" y="0"/>
                <wp:positionH relativeFrom="column">
                  <wp:posOffset>-43815</wp:posOffset>
                </wp:positionH>
                <wp:positionV relativeFrom="paragraph">
                  <wp:posOffset>6007735</wp:posOffset>
                </wp:positionV>
                <wp:extent cx="2966085" cy="1275715"/>
                <wp:effectExtent l="0" t="0" r="24765" b="19685"/>
                <wp:wrapNone/>
                <wp:docPr id="1836470493" name="Zone de texte 5">
                  <a:extLst xmlns:a="http://schemas.openxmlformats.org/drawingml/2006/main">
                    <a:ext uri="{FF2B5EF4-FFF2-40B4-BE49-F238E27FC236}">
                      <a16:creationId xmlns:a16="http://schemas.microsoft.com/office/drawing/2014/main" id="{7E28089F-9AFE-4B11-B530-2FE0BB127216}"/>
                    </a:ext>
                  </a:extLst>
                </wp:docPr>
                <wp:cNvGraphicFramePr/>
                <a:graphic xmlns:a="http://schemas.openxmlformats.org/drawingml/2006/main">
                  <a:graphicData uri="http://schemas.microsoft.com/office/word/2010/wordprocessingShape">
                    <wps:wsp>
                      <wps:cNvSpPr txBox="1"/>
                      <wps:spPr>
                        <a:xfrm>
                          <a:off x="0" y="0"/>
                          <a:ext cx="2966085" cy="1275715"/>
                        </a:xfrm>
                        <a:prstGeom prst="rect">
                          <a:avLst/>
                        </a:prstGeom>
                        <a:noFill/>
                        <a:ln w="6350">
                          <a:solidFill>
                            <a:prstClr val="black"/>
                          </a:solidFill>
                        </a:ln>
                      </wps:spPr>
                      <wps:txbx>
                        <w:txbxContent>
                          <w:p w14:paraId="3754538E" w14:textId="323330EB" w:rsidR="00D03269" w:rsidRPr="00AA366B" w:rsidRDefault="00D03269" w:rsidP="00982C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E4808" id="Zone de texte 5" o:spid="_x0000_s1032" type="#_x0000_t202" style="position:absolute;left:0;text-align:left;margin-left:-3.45pt;margin-top:473.05pt;width:233.55pt;height:100.4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" filled="f" strokeweight=".5pt">
                <v:textbox>
                  <w:txbxContent>
                    <w:p w14:paraId="3754538E" w14:textId="323330EB" w:rsidR="00D03269" w:rsidRPr="00AA366B" w:rsidRDefault="00D03269" w:rsidP="00982CCB"/>
                  </w:txbxContent>
                </v:textbox>
              </v:shape>
            </w:pict>
          </mc:Fallback>
        </mc:AlternateContent>
      </w:r>
      <w:r w:rsidR="0021184D" w:rsidRPr="00AA366B">
        <w:rPr>
          <w:b/>
          <w:kern w:val="36"/>
          <w:sz w:val="40"/>
          <w:szCs w:val="40"/>
        </w:rPr>
        <w:br w:type="page"/>
      </w:r>
    </w:p>
    <w:p w14:paraId="2A46D403" w14:textId="0C7EC601" w:rsidR="004050DD" w:rsidRPr="007425FA" w:rsidRDefault="005C7BA3" w:rsidP="007425FA">
      <w:pPr>
        <w:pStyle w:val="Heading1"/>
        <w:spacing w:before="0" w:beforeAutospacing="0" w:after="0" w:afterAutospacing="0"/>
        <w:rPr/>
      </w:pPr>
      <w:bookmarkStart w:id="0" w:name="_Toc240886172"/>
      <w:bookmarkStart w:id="1" w:name="_Toc240913004"/>
      <w:bookmarkStart w:id="2" w:name="_Toc240944003"/>
      <w:bookmarkStart w:id="3" w:name="_Toc241574044"/>
      <w:r w:rsidRPr="007425FA">
        <w:rPr/>
        <w:t>SOMMAIRE</w:t>
      </w:r>
      <w:bookmarkEnd w:id="0"/>
      <w:bookmarkEnd w:id="1"/>
      <w:bookmarkEnd w:id="2"/>
      <w:bookmarkEnd w:id="3"/>
    </w:p>
    <w:p w14:paraId="3E22C955" w14:textId="77EE70B8" w:rsidR="00E11CA9" w:rsidRPr="00821389" w:rsidRDefault="00476501" w:rsidP="0010591F">
      <w:pPr>
        <w:pStyle w:val="TOC1"/>
        <w:spacing w:before="0" w:beforeAutospacing="0" w:after="0" w:afterAutospacing="0"/>
        <w:rPr>
          <w:rFonts w:eastAsiaTheme="minorEastAsia"/>
          <w:b w:val="0"/>
          <w:noProof/>
          <w:color w:val="auto"/>
          <w:kern w:val="2"/>
          <w:szCs w:val="20"/>
          <w14:ligatures w14:val="standardContextual"/>
        </w:rPr>
      </w:pPr>
      <w:r w:rsidRPr="00821389">
        <w:rPr>
          <w:szCs w:val="20"/>
        </w:rPr>
        <w:fldChar w:fldCharType="begin"/>
      </w:r>
      <w:r w:rsidRPr="00821389">
        <w:rPr>
          <w:szCs w:val="20"/>
        </w:rPr>
        <w:instrText xml:space="preserve"> TOC \o "1-3" \h \z \u </w:instrText>
      </w:r>
      <w:r w:rsidRPr="00821389">
        <w:rPr>
          <w:szCs w:val="20"/>
        </w:rPr>
        <w:fldChar w:fldCharType="separate"/>
      </w:r>
      <w:r>
        <w:t>Clic droit puis « Mettre à jour les champs » (ou Ctrl+A puis F9) pour générer cette liste.</w:t>
      </w:r>
    </w:p>
    <w:p w14:paraId="1C63F013" w14:textId="2271BDA9" w:rsidR="00C901E7" w:rsidRPr="00821389" w:rsidRDefault="00476501" w:rsidP="0010591F">
      <w:pPr>
        <w:spacing w:before="0" w:beforeAutospacing="0" w:after="0" w:afterAutospacing="0" w:line="240" w:lineRule="auto"/>
        <w:rPr>
          <w:sz w:val="20"/>
          <w:szCs w:val="20"/>
        </w:rPr>
        <w:sectPr w:rsidR="00C901E7" w:rsidRPr="00821389" w:rsidSect="006F0310">
          <w:footerReference w:type="default" r:id="rId14"/>
          <w:pgSz w:w="11906" w:h="16838"/>
          <w:pgMar w:top="720" w:right="720" w:bottom="720" w:left="720" w:header="708" w:footer="708" w:gutter="0"/>
          <w:cols w:space="708"/>
          <w:docGrid w:linePitch="360"/>
        </w:sectPr>
      </w:pPr>
      <w:r w:rsidRPr="00821389">
        <w:rPr>
          <w:sz w:val="20"/>
          <w:szCs w:val="20"/>
        </w:rPr>
        <w:fldChar w:fldCharType="end"/>
      </w:r>
    </w:p>
    <w:p w14:paraId="240887F1" w14:textId="4A1CD4D7" w:rsidR="004050DD" w:rsidRPr="00821389" w:rsidRDefault="001B60EC" w:rsidP="0010591F">
      <w:pPr>
        <w:pStyle w:val="Heading1"/>
        <w:spacing w:before="0" w:beforeAutospacing="0" w:after="0" w:afterAutospacing="0"/>
        <w:rPr/>
      </w:pPr>
      <w:bookmarkStart w:id="4" w:name="_Toc240886173"/>
      <w:bookmarkStart w:id="5" w:name="_Toc240913005"/>
      <w:bookmarkStart w:id="6" w:name="_Toc240944004"/>
      <w:bookmarkStart w:id="7" w:name="_Toc241574045"/>
      <w:r w:rsidRPr="00821389">
        <w:rPr/>
        <w:t>TABLE DES SIGLES</w:t>
      </w:r>
      <w:bookmarkEnd w:id="4"/>
      <w:bookmarkEnd w:id="5"/>
      <w:bookmarkEnd w:id="6"/>
      <w:bookmarkEnd w:id="7"/>
    </w:p>
    <w:tbl>
      <w:tblPr>
        <w:tblStyle w:val="GridTable4"/>
        <w:tblW w:w="10466" w:type="dxa"/>
        <w:tblLook w:val="0480" w:firstRow="0" w:lastRow="0" w:firstColumn="1" w:lastColumn="0" w:noHBand="0" w:noVBand="1"/>
        <w:tblLayout w:type="fixed"/>
      </w:tblPr>
      <w:tblGrid>
        <w:gridCol w:w="1413"/>
        <w:gridCol w:w="9053"/>
      </w:tblGrid>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AIRMS</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Agence ivoirienne de régulation de la mutualité sociale</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BCEAO</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Banque centrale des États de l'Afrique de l'Ouest</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CGRAE</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Caisse générale de retraite des agents de l'État</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CMP</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Clinique médicale du policier</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EFC</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Entraide fin de carrière (épargne versée au départ à la retraite)</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FCP</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Fonds commun de placement</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FPPN</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Fonds de prévoyance de la Police nationale</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PEP</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Plan Épargne Plus (épargne volontaire)</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UEMOA</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Union économique et monétaire ouest-africaine</w:t>
            </w:r>
          </w:p>
        </w:tc>
      </w:tr>
    </w:tbl>
    <w:p w14:paraId="282AD83F" w14:textId="77777777" w:rsidR="00243B6F" w:rsidRPr="00AA366B" w:rsidRDefault="00243B6F" w:rsidP="00A50091">
      <w:pPr>
        <w:pStyle w:val="Heading1"/>
        <w:sectPr w:rsidR="00243B6F" w:rsidRPr="00AA366B" w:rsidSect="006F0310">
          <w:pgSz w:w="11906" w:h="16838"/>
          <w:pgMar w:top="720" w:right="720" w:bottom="720" w:left="720" w:header="708" w:footer="708" w:gutter="0"/>
          <w:cols w:space="708"/>
          <w:docGrid w:linePitch="360"/>
        </w:sectPr>
      </w:pPr>
    </w:p>
    <w:p w14:paraId="0A138966" w14:textId="25A5E6C0" w:rsidR="004050DD" w:rsidRPr="00AA366B" w:rsidRDefault="001B60EC" w:rsidP="00A50091">
      <w:pPr>
        <w:pStyle w:val="Heading1"/>
      </w:pPr>
      <w:bookmarkStart w:id="8" w:name="_Toc240886174"/>
      <w:bookmarkStart w:id="9" w:name="_Toc240913006"/>
      <w:bookmarkStart w:id="10" w:name="_Toc240944005"/>
      <w:bookmarkStart w:id="11" w:name="_Toc241574046"/>
      <w:r w:rsidRPr="00AA366B">
        <w:t>TABLE DES ABRÉVIATIONS</w:t>
      </w:r>
      <w:bookmarkEnd w:id="8"/>
      <w:bookmarkEnd w:id="9"/>
      <w:bookmarkEnd w:id="10"/>
      <w:bookmarkEnd w:id="11"/>
    </w:p>
    <w:tbl>
      <w:tblPr>
        <w:tblStyle w:val="GridTable4"/>
        <w:tblW w:w="10466" w:type="dxa"/>
        <w:tblLook w:val="0480" w:firstRow="0" w:lastRow="0" w:firstColumn="1" w:lastColumn="0" w:noHBand="0" w:noVBand="1"/>
        <w:tblLayout w:type="fixed"/>
      </w:tblPr>
      <w:tblGrid>
        <w:gridCol w:w="1420"/>
        <w:gridCol w:w="9046"/>
      </w:tblGrid>
      <w:tr w:rsidR="006C1D96" w:rsidRPr="00AA366B" w14:paraId="664E4847" w14:textId="77777777" w:rsidTr="00361B05">
        <w:trPr>
          <w:trHeight w:val="283"/>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326B8EA2" w14:textId="77777777" w:rsidR="004050DD" w:rsidRPr="00AA366B" w:rsidRDefault="004050DD" w:rsidP="00982CCB">
            <w:r w:rsidRPr="00AA366B">
              <w:t>art.</w:t>
            </w:r>
          </w:p>
        </w:tc>
        <w:tc>
          <w:tcPr>
            <w:tcW w:w="9046" w:type="dxa"/>
            <w:vAlign w:val="center"/>
          </w:tcPr>
          <w:p w14:paraId="634B998B" w14:textId="5F156902" w:rsidR="004050DD" w:rsidRPr="00AA366B" w:rsidRDefault="007C64BB" w:rsidP="00982CCB">
            <w:pPr>
              <w:cnfStyle w:val="000000000000" w:firstRow="0" w:lastRow="0" w:firstColumn="0" w:lastColumn="0" w:oddVBand="0" w:evenVBand="0" w:oddHBand="0" w:evenHBand="0" w:firstRowFirstColumn="0" w:firstRowLastColumn="0" w:lastRowFirstColumn="0" w:lastRowLastColumn="0"/>
            </w:pPr>
            <w:r w:rsidRPr="00AA366B">
              <w:t>Article</w:t>
            </w:r>
            <w:r w:rsidR="004050DD" w:rsidRPr="00AA366B">
              <w:t/>
            </w:r>
          </w:p>
        </w:tc>
      </w:tr>
      <w:tr w:rsidR="006C1D96" w:rsidRPr="00AA366B" w14:paraId="664E4847" w14:textId="77777777" w:rsidTr="00361B05">
        <w:trPr>
          <w:trHeight w:val="283"/>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326B8EA2" w14:textId="77777777" w:rsidR="004050DD" w:rsidRPr="00AA366B" w:rsidRDefault="004050DD" w:rsidP="00982CCB">
            <w:r w:rsidRPr="00AA366B">
              <w:t>FCFA</w:t>
            </w:r>
          </w:p>
        </w:tc>
        <w:tc>
          <w:tcPr>
            <w:tcW w:w="9046" w:type="dxa"/>
            <w:vAlign w:val="center"/>
          </w:tcPr>
          <w:p w14:paraId="634B998B" w14:textId="5F156902" w:rsidR="004050DD" w:rsidRPr="00AA366B" w:rsidRDefault="007C64BB" w:rsidP="00982CCB">
            <w:pPr>
              <w:cnfStyle w:val="000000000000" w:firstRow="0" w:lastRow="0" w:firstColumn="0" w:lastColumn="0" w:oddVBand="0" w:evenVBand="0" w:oddHBand="0" w:evenHBand="0" w:firstRowFirstColumn="0" w:firstRowLastColumn="0" w:lastRowFirstColumn="0" w:lastRowLastColumn="0"/>
            </w:pPr>
            <w:r w:rsidRPr="00AA366B">
              <w:t>Franc de la Communauté financière africaine</w:t>
            </w:r>
            <w:r w:rsidR="004050DD" w:rsidRPr="00AA366B">
              <w:t/>
            </w:r>
          </w:p>
        </w:tc>
      </w:tr>
      <w:tr w:rsidR="006C1D96" w:rsidRPr="00AA366B" w14:paraId="664E4847" w14:textId="77777777" w:rsidTr="00361B05">
        <w:trPr>
          <w:trHeight w:val="283"/>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326B8EA2" w14:textId="77777777" w:rsidR="004050DD" w:rsidRPr="00AA366B" w:rsidRDefault="004050DD" w:rsidP="00982CCB">
            <w:r w:rsidRPr="00AA366B">
              <w:t>n°</w:t>
            </w:r>
          </w:p>
        </w:tc>
        <w:tc>
          <w:tcPr>
            <w:tcW w:w="9046" w:type="dxa"/>
            <w:vAlign w:val="center"/>
          </w:tcPr>
          <w:p w14:paraId="634B998B" w14:textId="5F156902" w:rsidR="004050DD" w:rsidRPr="00AA366B" w:rsidRDefault="007C64BB" w:rsidP="00982CCB">
            <w:pPr>
              <w:cnfStyle w:val="000000000000" w:firstRow="0" w:lastRow="0" w:firstColumn="0" w:lastColumn="0" w:oddVBand="0" w:evenVBand="0" w:oddHBand="0" w:evenHBand="0" w:firstRowFirstColumn="0" w:firstRowLastColumn="0" w:lastRowFirstColumn="0" w:lastRowLastColumn="0"/>
            </w:pPr>
            <w:r w:rsidRPr="00AA366B">
              <w:t>Numéro</w:t>
            </w:r>
            <w:r w:rsidR="004050DD" w:rsidRPr="00AA366B">
              <w:t/>
            </w:r>
          </w:p>
        </w:tc>
      </w:tr>
      <w:tr w:rsidR="006C1D96" w:rsidRPr="00AA366B" w14:paraId="664E4847" w14:textId="77777777" w:rsidTr="00361B05">
        <w:trPr>
          <w:trHeight w:val="283"/>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326B8EA2" w14:textId="77777777" w:rsidR="004050DD" w:rsidRPr="00AA366B" w:rsidRDefault="004050DD" w:rsidP="00982CCB">
            <w:r w:rsidRPr="00AA366B">
              <w:t>P1 à P4</w:t>
            </w:r>
          </w:p>
        </w:tc>
        <w:tc>
          <w:tcPr>
            <w:tcW w:w="9046" w:type="dxa"/>
            <w:vAlign w:val="center"/>
          </w:tcPr>
          <w:p w14:paraId="634B998B" w14:textId="5F156902" w:rsidR="004050DD" w:rsidRPr="00AA366B" w:rsidRDefault="007C64BB" w:rsidP="00982CCB">
            <w:pPr>
              <w:cnfStyle w:val="000000000000" w:firstRow="0" w:lastRow="0" w:firstColumn="0" w:lastColumn="0" w:oddVBand="0" w:evenVBand="0" w:oddHBand="0" w:evenHBand="0" w:firstRowFirstColumn="0" w:firstRowLastColumn="0" w:lastRowFirstColumn="0" w:lastRowLastColumn="0"/>
            </w:pPr>
            <w:r w:rsidRPr="00AA366B">
              <w:t>Niveaux de priorité (voir l'annexe 2)</w:t>
            </w:r>
            <w:r w:rsidR="004050DD" w:rsidRPr="00AA366B">
              <w:t/>
            </w:r>
          </w:p>
        </w:tc>
      </w:tr>
    </w:tbl>
    <w:p w14:paraId="0635A630" w14:textId="77777777" w:rsidR="00243B6F" w:rsidRPr="00AA366B" w:rsidRDefault="00243B6F" w:rsidP="00982CCB">
      <w:pPr>
        <w:sectPr w:rsidR="00243B6F" w:rsidRPr="00AA366B" w:rsidSect="006F0310">
          <w:pgSz w:w="11906" w:h="16838"/>
          <w:pgMar w:top="720" w:right="720" w:bottom="720" w:left="720" w:header="708" w:footer="708" w:gutter="0"/>
          <w:cols w:space="708"/>
          <w:docGrid w:linePitch="360"/>
        </w:sectPr>
      </w:pPr>
      <w:r w:rsidRPr="00AA366B">
        <w:tab/>
      </w:r>
    </w:p>
    <w:p w14:paraId="492C3623" w14:textId="72B26B44" w:rsidR="004050DD" w:rsidRPr="00AA366B" w:rsidRDefault="00603620" w:rsidP="00603620">
      <w:pPr>
        <w:pStyle w:val="Heading1"/>
      </w:pPr>
      <w:bookmarkStart w:id="12" w:name="_Toc240913007"/>
      <w:bookmarkStart w:id="13" w:name="_Toc240944006"/>
      <w:bookmarkStart w:id="14" w:name="_Toc241574047"/>
      <w:r w:rsidRPr="00AA366B">
        <w:t>LISTE DES TABLEAUX</w:t>
      </w:r>
      <w:bookmarkEnd w:id="12"/>
      <w:bookmarkEnd w:id="13"/>
      <w:bookmarkEnd w:id="14"/>
    </w:p>
    <w:sdt>
      <w:sdtPr>
        <w:rPr>
          <w:rFonts w:eastAsiaTheme="minorEastAsia"/>
          <w:kern w:val="2"/>
          <w:sz w:val="20"/>
          <w:szCs w:val="20"/>
          <w:lang w:eastAsia="en-US"/>
          <w14:ligatures w14:val="standardContextual"/>
        </w:rPr>
        <w:alias w:val="Tableaux"/>
        <w:id w:val="1307352816"/>
      </w:sdtPr>
      <w:sdtEndPr>
        <w:rPr>
          <w:kern w:val="0"/>
          <w:lang w:eastAsia="fr-CI"/>
          <w14:ligatures w14:val="none"/>
        </w:rPr>
      </w:sdtEndPr>
      <w:sdtContent>
        <w:p w14:paraId="778C74E5" w14:textId="79FCC72E" w:rsidR="00E53B0A" w:rsidRPr="00E53B0A" w:rsidRDefault="00AE38BD" w:rsidP="00E53B0A">
          <w:pPr>
            <w:pStyle w:val="TableofFigures"/>
            <w:spacing w:line="240" w:lineRule="auto"/>
            <w:rPr>
              <w:rFonts w:asciiTheme="minorHAnsi" w:eastAsiaTheme="minorEastAsia" w:hAnsiTheme="minorHAnsi" w:cstheme="minorBidi"/>
              <w:noProof/>
              <w:color w:val="auto"/>
              <w:kern w:val="2"/>
              <w:sz w:val="20"/>
              <w:szCs w:val="20"/>
              <w14:ligatures w14:val="standardContextual"/>
            </w:rPr>
          </w:pPr>
          <w:r w:rsidRPr="00E53B0A">
            <w:rPr>
              <w:sz w:val="20"/>
              <w:szCs w:val="20"/>
            </w:rPr>
            <w:fldChar w:fldCharType="begin"/>
          </w:r>
          <w:r w:rsidRPr="00E53B0A">
            <w:rPr>
              <w:sz w:val="20"/>
              <w:szCs w:val="20"/>
            </w:rPr>
            <w:instrText xml:space="preserve"> TOC \c "</w:instrText>
          </w:r>
          <w:r w:rsidR="00917DBE" w:rsidRPr="00E53B0A">
            <w:rPr>
              <w:sz w:val="20"/>
              <w:szCs w:val="20"/>
            </w:rPr>
            <w:instrText>Tableau</w:instrText>
          </w:r>
          <w:r w:rsidRPr="00E53B0A">
            <w:rPr>
              <w:sz w:val="20"/>
              <w:szCs w:val="20"/>
            </w:rPr>
            <w:instrText xml:space="preserve">" </w:instrText>
          </w:r>
          <w:r w:rsidRPr="00E53B0A">
            <w:rPr>
              <w:sz w:val="20"/>
              <w:szCs w:val="20"/>
            </w:rPr>
            <w:fldChar w:fldCharType="separate"/>
          </w:r>
          <w:r>
            <w:t>Clic droit puis « Mettre à jour les champs » (ou Ctrl+A puis F9) pour générer cette liste.</w:t>
          </w:r>
        </w:p>
        <w:p w14:paraId="5D17CE9F" w14:textId="644DE881" w:rsidR="00243B6F" w:rsidRPr="00AA366B" w:rsidRDefault="00AE38BD" w:rsidP="00E53B0A">
          <w:pPr>
            <w:pStyle w:val="TableofFigures"/>
            <w:spacing w:line="240" w:lineRule="auto"/>
            <w:sectPr w:rsidR="00243B6F" w:rsidRPr="00AA366B" w:rsidSect="006F0310">
              <w:pgSz w:w="11906" w:h="16838"/>
              <w:pgMar w:top="720" w:right="720" w:bottom="720" w:left="720" w:header="708" w:footer="708" w:gutter="0"/>
              <w:cols w:space="708"/>
              <w:docGrid w:linePitch="360"/>
            </w:sectPr>
          </w:pPr>
          <w:r w:rsidRPr="00E53B0A">
            <w:rPr>
              <w:sz w:val="20"/>
              <w:szCs w:val="20"/>
            </w:rPr>
            <w:fldChar w:fldCharType="end"/>
          </w:r>
        </w:p>
      </w:sdtContent>
    </w:sdt>
    <w:p w14:paraId="44217672" w14:textId="61D4D835" w:rsidR="004050DD" w:rsidRPr="00AA366B" w:rsidRDefault="001B60EC" w:rsidP="00A50091">
      <w:pPr>
        <w:pStyle w:val="Heading1"/>
      </w:pPr>
      <w:bookmarkStart w:id="15" w:name="_Toc240886175"/>
      <w:bookmarkStart w:id="16" w:name="_Toc240913008"/>
      <w:bookmarkStart w:id="17" w:name="_Toc240944007"/>
      <w:bookmarkStart w:id="18" w:name="_Toc241574048"/>
      <w:r w:rsidRPr="00AA366B">
        <w:t>LISTE DES FIGURES</w:t>
      </w:r>
      <w:bookmarkEnd w:id="15"/>
      <w:bookmarkEnd w:id="16"/>
      <w:bookmarkEnd w:id="17"/>
      <w:bookmarkEnd w:id="18"/>
    </w:p>
    <w:sdt>
      <w:sdtPr>
        <w:rPr>
          <w:rFonts w:eastAsiaTheme="minorEastAsia"/>
          <w:color w:val="auto"/>
          <w:kern w:val="2"/>
          <w:lang w:eastAsia="en-US"/>
          <w14:ligatures w14:val="standardContextual"/>
        </w:rPr>
        <w:alias w:val="Figures"/>
        <w:id w:val="-1375691650"/>
      </w:sdtPr>
      <w:sdtEndPr>
        <w:rPr>
          <w:color w:val="000000"/>
          <w:kern w:val="0"/>
          <w:sz w:val="20"/>
          <w:szCs w:val="20"/>
          <w:lang w:eastAsia="fr-CI"/>
          <w14:ligatures w14:val="none"/>
        </w:rPr>
      </w:sdtEndPr>
      <w:sdtContent>
        <w:p w14:paraId="0F10E1BD" w14:textId="4B2103D2" w:rsidR="008447F5" w:rsidRPr="00150274" w:rsidRDefault="004050DD" w:rsidP="00150274">
          <w:pPr>
            <w:pStyle w:val="TableofFigures"/>
            <w:spacing w:line="240" w:lineRule="auto"/>
            <w:rPr>
              <w:rFonts w:eastAsiaTheme="minorEastAsia"/>
              <w:noProof/>
              <w:color w:val="auto"/>
              <w:kern w:val="2"/>
              <w:sz w:val="20"/>
              <w:szCs w:val="20"/>
              <w:lang w:val="fr-FR" w:eastAsia="fr-FR"/>
              <w14:ligatures w14:val="standardContextual"/>
            </w:rPr>
          </w:pPr>
          <w:r w:rsidRPr="00150274">
            <w:rPr>
              <w:sz w:val="20"/>
              <w:szCs w:val="20"/>
            </w:rPr>
            <w:fldChar w:fldCharType="begin"/>
          </w:r>
          <w:r w:rsidRPr="00150274">
            <w:rPr>
              <w:sz w:val="20"/>
              <w:szCs w:val="20"/>
            </w:rPr>
            <w:instrText>TOC \c "Figure"</w:instrText>
          </w:r>
          <w:r w:rsidRPr="00150274">
            <w:rPr>
              <w:sz w:val="20"/>
              <w:szCs w:val="20"/>
            </w:rPr>
            <w:fldChar w:fldCharType="separate"/>
          </w:r>
          <w:r>
            <w:t>Clic droit puis « Mettre à jour les champs » (ou Ctrl+A puis F9) pour générer cette liste.</w:t>
          </w:r>
        </w:p>
        <w:p w14:paraId="5F353925" w14:textId="649C4DB8" w:rsidR="00243B6F" w:rsidRPr="00AA366B" w:rsidRDefault="004050DD" w:rsidP="00150274">
          <w:pPr>
            <w:spacing w:line="240" w:lineRule="auto"/>
          </w:pPr>
          <w:r w:rsidRPr="00150274">
            <w:rPr>
              <w:sz w:val="20"/>
              <w:szCs w:val="20"/>
            </w:rPr>
            <w:fldChar w:fldCharType="end"/>
          </w:r>
          <w:r w:rsidR="00243B6F" w:rsidRPr="003654B3">
            <w:rPr>
              <w:sz w:val="20"/>
              <w:szCs w:val="20"/>
            </w:rPr>
            <w:tab/>
          </w:r>
          <w:r w:rsidR="00243B6F" w:rsidRPr="003654B3">
            <w:rPr>
              <w:sz w:val="20"/>
              <w:szCs w:val="20"/>
            </w:rPr>
            <w:tab/>
          </w:r>
          <w:r w:rsidR="00243B6F" w:rsidRPr="003654B3">
            <w:rPr>
              <w:sz w:val="20"/>
              <w:szCs w:val="20"/>
            </w:rPr>
            <w:tab/>
          </w:r>
          <w:r w:rsidR="00243B6F" w:rsidRPr="003654B3">
            <w:rPr>
              <w:sz w:val="20"/>
              <w:szCs w:val="20"/>
            </w:rPr>
            <w:tab/>
          </w:r>
        </w:p>
      </w:sdtContent>
    </w:sdt>
    <w:p w14:paraId="2FDAB497" w14:textId="77777777" w:rsidR="00243B6F" w:rsidRPr="00AA366B" w:rsidRDefault="00243B6F" w:rsidP="00982CCB">
      <w:pPr>
        <w:sectPr w:rsidR="00243B6F" w:rsidRPr="00AA366B" w:rsidSect="006F0310">
          <w:pgSz w:w="11906" w:h="16838"/>
          <w:pgMar w:top="720" w:right="720" w:bottom="720" w:left="720" w:header="708" w:footer="708" w:gutter="0"/>
          <w:cols w:space="708"/>
          <w:docGrid w:linePitch="360"/>
        </w:sectPr>
      </w:pPr>
    </w:p>
    <w:p>
      <w:pPr>
        <w:pStyle w:val="Heading1"/>
      </w:pPr>
      <w:r>
        <w:t>L'ESSENTIEL</w:t>
      </w:r>
    </w:p>
    <w:p>
      <w:pPr/>
      <w:r>
        <w:rPr>
          <w:rFonts w:ascii="Helvetica" w:hAnsi="Helvetica" w:cs="Helvetica" w:eastAsia="Helvetica"/>
          <w:b/>
          <w:color w:val="000000"/>
        </w:rPr>
        <w:t>Le FPPN encaisse plus qu'il ne dépense, mais il ne peut pas encore démontrer qu'il pourra rembourser à temps l'épargne de tous les policiers.</w:t>
      </w:r>
      <w:r>
        <w:rPr>
          <w:rFonts w:ascii="Helvetica" w:hAnsi="Helvetica" w:cs="Helvetica" w:eastAsia="Helvetica"/>
          <w:color w:val="000000"/>
        </w:rPr>
        <w:t xml:space="preserve"> Le FPPN a dégagé un excédent chaque année de 2020 à 2025. Mais l'épargne des policiers, environ 15,7 milliards de FCFA (15 743 516 391 FCFA) au 31/08/2026, a surtout financé des bâtiments, des terrains et des prêts, qui ne peuvent pas être transformés vite en argent. Les intérêts promis aux épargnants ne sont pas comptabilisés, et le FPPN ne respecte pas plusieurs règles de solidité fixées par la réglementation.</w:t>
      </w:r>
    </w:p>
    <w:p>
      <w:pPr/>
      <w:r>
        <w:rPr>
          <w:rFonts w:ascii="Helvetica" w:hAnsi="Helvetica" w:cs="Helvetica" w:eastAsia="Helvetica"/>
          <w:b/>
          <w:color w:val="000000"/>
        </w:rPr>
        <w:t>La mission devait répondre à quatre questions.</w:t>
      </w:r>
      <w:r>
        <w:rPr>
          <w:rFonts w:ascii="Helvetica" w:hAnsi="Helvetica" w:cs="Helvetica" w:eastAsia="Helvetica"/>
          <w:color w:val="000000"/>
        </w:rPr>
        <w:t xml:space="preserve"> Les réponses sont données sur la base des documents reçus du FPPN jusqu'au 23/10/2026.</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1</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Réponses aux quatre questions de la mission</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3061"/>
        <w:gridCol w:w="2041"/>
        <w:gridCol w:w="5329"/>
      </w:tblGrid>
      <w:tr>
        <w:trPr>
          <w:tblHeader/>
        </w:trPr>
        <w:tc>
          <w:tcPr>
            <w:tcW w:type="dxa" w:w="3061"/>
            <w:shd w:val="clear" w:color="auto" w:fill="000000"/>
          </w:tcPr>
          <w:p>
            <w:pPr>
              <w:spacing w:after="40" w:before="40" w:line="240" w:lineRule="auto"/>
              <w:jc w:val="left"/>
            </w:pPr>
            <w:r>
              <w:rPr>
                <w:rFonts w:ascii="Helvetica" w:hAnsi="Helvetica" w:cs="Helvetica" w:eastAsia="Helvetica"/>
                <w:b/>
                <w:color w:val="FFFFFF"/>
                <w:sz w:val="18"/>
              </w:rPr>
              <w:t>Question</w:t>
            </w:r>
          </w:p>
        </w:tc>
        <w:tc>
          <w:tcPr>
            <w:tcW w:type="dxa" w:w="2041"/>
            <w:shd w:val="clear" w:color="auto" w:fill="000000"/>
          </w:tcPr>
          <w:p>
            <w:pPr>
              <w:spacing w:after="40" w:before="40" w:line="240" w:lineRule="auto"/>
              <w:jc w:val="center"/>
            </w:pPr>
            <w:r>
              <w:rPr>
                <w:rFonts w:ascii="Helvetica" w:hAnsi="Helvetica" w:cs="Helvetica" w:eastAsia="Helvetica"/>
                <w:b/>
                <w:color w:val="FFFFFF"/>
                <w:sz w:val="18"/>
              </w:rPr>
              <w:t>Réponse</w:t>
            </w:r>
          </w:p>
        </w:tc>
        <w:tc>
          <w:tcPr>
            <w:tcW w:type="dxa" w:w="5329"/>
            <w:shd w:val="clear" w:color="auto" w:fill="000000"/>
          </w:tcPr>
          <w:p>
            <w:pPr>
              <w:spacing w:after="40" w:before="40" w:line="240" w:lineRule="auto"/>
              <w:jc w:val="center"/>
            </w:pPr>
            <w:r>
              <w:rPr>
                <w:rFonts w:ascii="Helvetica" w:hAnsi="Helvetica" w:cs="Helvetica" w:eastAsia="Helvetica"/>
                <w:b/>
                <w:color w:val="FFFFFF"/>
                <w:sz w:val="18"/>
              </w:rPr>
              <w:t>En clair</w:t>
            </w:r>
          </w:p>
        </w:tc>
      </w:tr>
      <w:tr>
        <w:tc>
          <w:tcPr>
            <w:tcW w:type="dxa" w:w="3061"/>
            <w:shd w:val="clear" w:color="auto" w:fill="CCCCCC"/>
          </w:tcPr>
          <w:p>
            <w:pPr>
              <w:spacing w:after="40" w:before="40" w:line="240" w:lineRule="auto"/>
              <w:jc w:val="left"/>
            </w:pPr>
            <w:r>
              <w:rPr>
                <w:rFonts w:ascii="Helvetica" w:hAnsi="Helvetica" w:cs="Helvetica" w:eastAsia="Helvetica"/>
                <w:b/>
                <w:color w:val="000000"/>
                <w:sz w:val="18"/>
              </w:rPr>
              <w:t>1. Combien le FPPN doit-il à ses adhérents ?</w:t>
            </w:r>
          </w:p>
        </w:tc>
        <w:tc>
          <w:tcPr>
            <w:tcW w:type="dxa" w:w="2041"/>
          </w:tcPr>
          <w:p>
            <w:pPr>
              <w:spacing w:after="40" w:before="40" w:line="240" w:lineRule="auto"/>
              <w:jc w:val="left"/>
            </w:pPr>
            <w:r>
              <w:rPr>
                <w:rFonts w:ascii="Helvetica" w:hAnsi="Helvetica" w:cs="Helvetica" w:eastAsia="Helvetica"/>
                <w:color w:val="000000"/>
                <w:sz w:val="18"/>
              </w:rPr>
              <w:t>Partiellement démontré</w:t>
            </w:r>
          </w:p>
        </w:tc>
        <w:tc>
          <w:tcPr>
            <w:tcW w:type="dxa" w:w="5329"/>
          </w:tcPr>
          <w:p>
            <w:pPr>
              <w:spacing w:after="40" w:before="40" w:line="240" w:lineRule="auto"/>
              <w:jc w:val="left"/>
            </w:pPr>
            <w:r>
              <w:rPr>
                <w:rFonts w:ascii="Helvetica" w:hAnsi="Helvetica" w:cs="Helvetica" w:eastAsia="Helvetica"/>
                <w:color w:val="000000"/>
                <w:sz w:val="18"/>
              </w:rPr>
              <w:t>Environ 19,5 milliards de FCFA (19 518 949 298 FCFA), dont 97,46 % pour l'épargne et ses intérêts. Le détail par policier manque.</w:t>
            </w:r>
          </w:p>
        </w:tc>
      </w:tr>
      <w:tr>
        <w:tc>
          <w:tcPr>
            <w:tcW w:type="dxa" w:w="3061"/>
            <w:shd w:val="clear" w:color="auto" w:fill="CCCCCC"/>
          </w:tcPr>
          <w:p>
            <w:pPr>
              <w:spacing w:after="40" w:before="40" w:line="240" w:lineRule="auto"/>
              <w:jc w:val="left"/>
            </w:pPr>
            <w:r>
              <w:rPr>
                <w:rFonts w:ascii="Helvetica" w:hAnsi="Helvetica" w:cs="Helvetica" w:eastAsia="Helvetica"/>
                <w:b/>
                <w:color w:val="000000"/>
                <w:sz w:val="18"/>
              </w:rPr>
              <w:t>2. Les sommes mises de côté suffisent-elles ?</w:t>
            </w:r>
          </w:p>
        </w:tc>
        <w:tc>
          <w:tcPr>
            <w:tcW w:type="dxa" w:w="2041"/>
            <w:shd w:val="clear" w:color="auto" w:fill="E8E8E8"/>
          </w:tcPr>
          <w:p>
            <w:pPr>
              <w:spacing w:after="40" w:before="40" w:line="240" w:lineRule="auto"/>
              <w:jc w:val="left"/>
            </w:pPr>
            <w:r>
              <w:rPr>
                <w:rFonts w:ascii="Helvetica" w:hAnsi="Helvetica" w:cs="Helvetica" w:eastAsia="Helvetica"/>
                <w:color w:val="000000"/>
                <w:sz w:val="18"/>
              </w:rPr>
              <w:t>Partiellement démontré</w:t>
            </w:r>
          </w:p>
        </w:tc>
        <w:tc>
          <w:tcPr>
            <w:tcW w:type="dxa" w:w="5329"/>
            <w:shd w:val="clear" w:color="auto" w:fill="E8E8E8"/>
          </w:tcPr>
          <w:p>
            <w:pPr>
              <w:spacing w:after="40" w:before="40" w:line="240" w:lineRule="auto"/>
              <w:jc w:val="left"/>
            </w:pPr>
            <w:r>
              <w:rPr>
                <w:rFonts w:ascii="Helvetica" w:hAnsi="Helvetica" w:cs="Helvetica" w:eastAsia="Helvetica"/>
                <w:color w:val="000000"/>
                <w:sz w:val="18"/>
              </w:rPr>
              <w:t>Oui en total, mais elles sont mal réparties et ne sont pas calculées. Rien n'est prévu pour les intérêts de l'épargne.</w:t>
            </w:r>
          </w:p>
        </w:tc>
      </w:tr>
      <w:tr>
        <w:tc>
          <w:tcPr>
            <w:tcW w:type="dxa" w:w="3061"/>
            <w:shd w:val="clear" w:color="auto" w:fill="CCCCCC"/>
          </w:tcPr>
          <w:p>
            <w:pPr>
              <w:spacing w:after="40" w:before="40" w:line="240" w:lineRule="auto"/>
              <w:jc w:val="left"/>
            </w:pPr>
            <w:r>
              <w:rPr>
                <w:rFonts w:ascii="Helvetica" w:hAnsi="Helvetica" w:cs="Helvetica" w:eastAsia="Helvetica"/>
                <w:b/>
                <w:color w:val="000000"/>
                <w:sz w:val="18"/>
              </w:rPr>
              <w:t>3. L'argent sera-t-il disponible au bon moment ?</w:t>
            </w:r>
          </w:p>
        </w:tc>
        <w:tc>
          <w:tcPr>
            <w:tcW w:type="dxa" w:w="2041"/>
          </w:tcPr>
          <w:p>
            <w:pPr>
              <w:spacing w:after="40" w:before="40" w:line="240" w:lineRule="auto"/>
              <w:jc w:val="left"/>
            </w:pPr>
            <w:r>
              <w:rPr>
                <w:rFonts w:ascii="Helvetica" w:hAnsi="Helvetica" w:cs="Helvetica" w:eastAsia="Helvetica"/>
                <w:color w:val="000000"/>
                <w:sz w:val="18"/>
              </w:rPr>
              <w:t>Insuffisant</w:t>
            </w:r>
          </w:p>
        </w:tc>
        <w:tc>
          <w:tcPr>
            <w:tcW w:type="dxa" w:w="5329"/>
          </w:tcPr>
          <w:p>
            <w:pPr>
              <w:spacing w:after="40" w:before="40" w:line="240" w:lineRule="auto"/>
              <w:jc w:val="left"/>
            </w:pPr>
            <w:r>
              <w:rPr>
                <w:rFonts w:ascii="Helvetica" w:hAnsi="Helvetica" w:cs="Helvetica" w:eastAsia="Helvetica"/>
                <w:color w:val="000000"/>
                <w:sz w:val="18"/>
              </w:rPr>
              <w:t>Non : l'argent disponible dans l'année couvre 34,42 % de ce qu'il faudra payer dans l'année.</w:t>
            </w:r>
          </w:p>
        </w:tc>
      </w:tr>
      <w:tr>
        <w:tc>
          <w:tcPr>
            <w:tcW w:type="dxa" w:w="3061"/>
            <w:shd w:val="clear" w:color="auto" w:fill="CCCCCC"/>
          </w:tcPr>
          <w:p>
            <w:pPr>
              <w:spacing w:after="40" w:before="40" w:line="240" w:lineRule="auto"/>
              <w:jc w:val="left"/>
            </w:pPr>
            <w:r>
              <w:rPr>
                <w:rFonts w:ascii="Helvetica" w:hAnsi="Helvetica" w:cs="Helvetica" w:eastAsia="Helvetica"/>
                <w:b/>
                <w:color w:val="000000"/>
                <w:sz w:val="18"/>
              </w:rPr>
              <w:t>4. Les placements sont-ils adaptés ?</w:t>
            </w:r>
          </w:p>
        </w:tc>
        <w:tc>
          <w:tcPr>
            <w:tcW w:type="dxa" w:w="2041"/>
            <w:shd w:val="clear" w:color="auto" w:fill="E8E8E8"/>
          </w:tcPr>
          <w:p>
            <w:pPr>
              <w:spacing w:after="40" w:before="40" w:line="240" w:lineRule="auto"/>
              <w:jc w:val="left"/>
            </w:pPr>
            <w:r>
              <w:rPr>
                <w:rFonts w:ascii="Helvetica" w:hAnsi="Helvetica" w:cs="Helvetica" w:eastAsia="Helvetica"/>
                <w:color w:val="000000"/>
                <w:sz w:val="18"/>
              </w:rPr>
              <w:t>Insuffisant</w:t>
            </w:r>
          </w:p>
        </w:tc>
        <w:tc>
          <w:tcPr>
            <w:tcW w:type="dxa" w:w="5329"/>
            <w:shd w:val="clear" w:color="auto" w:fill="E8E8E8"/>
          </w:tcPr>
          <w:p>
            <w:pPr>
              <w:spacing w:after="40" w:before="40" w:line="240" w:lineRule="auto"/>
              <w:jc w:val="left"/>
            </w:pPr>
            <w:r>
              <w:rPr>
                <w:rFonts w:ascii="Helvetica" w:hAnsi="Helvetica" w:cs="Helvetica" w:eastAsia="Helvetica"/>
                <w:color w:val="000000"/>
                <w:sz w:val="18"/>
              </w:rPr>
              <w:t>Non : seulement 5,53 % de l'épargne est réellement placée, sans politique de placement votée.</w:t>
            </w:r>
          </w:p>
        </w:tc>
      </w:tr>
    </w:tbl>
    <w:p>
      <w:pPr>
        <w:spacing w:after="200"/>
        <w:jc w:val="left"/>
      </w:pPr>
      <w:r>
        <w:rPr>
          <w:rFonts w:ascii="Helvetica" w:hAnsi="Helvetica" w:cs="Helvetica" w:eastAsia="Helvetica"/>
          <w:color w:val="000000"/>
          <w:sz w:val="16"/>
        </w:rPr>
        <w:t>Source : Rapport actuariel et statistique du 23/10/2026, diapositives 4 à 8.</w:t>
      </w:r>
    </w:p>
    <w:p>
      <w:pPr/>
      <w:r>
        <w:rPr>
          <w:rFonts w:ascii="Helvetica" w:hAnsi="Helvetica" w:cs="Helvetica" w:eastAsia="Helvetica"/>
          <w:b/>
          <w:color w:val="000000"/>
        </w:rPr>
        <w:t>Les cinq constats les plus graves.</w:t>
      </w:r>
    </w:p>
    <w:p>
      <w:pPr>
        <w:pStyle w:val="ListParagraph"/>
        <w:numPr>
          <w:ilvl w:val="0"/>
          <w:numId w:val="3"/>
        </w:numPr>
        <w:spacing w:after="60"/>
        <w:jc w:val="both"/>
      </w:pPr>
      <w:r>
        <w:rPr>
          <w:rFonts w:ascii="Helvetica" w:hAnsi="Helvetica" w:cs="Helvetica" w:eastAsia="Helvetica"/>
          <w:color w:val="000000"/>
        </w:rPr>
        <w:t>Les intérêts promis aux épargnants, environ 3,3 milliards de FCFA (3 278 913 238 FCFA), ne sont pas comptabilisés (constat 6).</w:t>
      </w:r>
    </w:p>
    <w:p>
      <w:pPr>
        <w:pStyle w:val="ListParagraph"/>
        <w:numPr>
          <w:ilvl w:val="0"/>
          <w:numId w:val="3"/>
        </w:numPr>
        <w:spacing w:after="60"/>
        <w:jc w:val="both"/>
      </w:pPr>
      <w:r>
        <w:rPr>
          <w:rFonts w:ascii="Helvetica" w:hAnsi="Helvetica" w:cs="Helvetica" w:eastAsia="Helvetica"/>
          <w:color w:val="000000"/>
        </w:rPr>
        <w:t>L'argent disponible dans l'année ne couvre qu'un tiers des paiements de l'année, épargne comprise (constat 11).</w:t>
      </w:r>
    </w:p>
    <w:p>
      <w:pPr>
        <w:pStyle w:val="ListParagraph"/>
        <w:numPr>
          <w:ilvl w:val="0"/>
          <w:numId w:val="3"/>
        </w:numPr>
        <w:spacing w:after="60"/>
        <w:jc w:val="both"/>
      </w:pPr>
      <w:r>
        <w:rPr>
          <w:rFonts w:ascii="Helvetica" w:hAnsi="Helvetica" w:cs="Helvetica" w:eastAsia="Helvetica"/>
          <w:color w:val="000000"/>
        </w:rPr>
        <w:t>14 des 36 règles de solidité de la réglementation ne sont pas respectées, ce qui expose le FPPN à un retrait d'agrément (constat 14).</w:t>
      </w:r>
    </w:p>
    <w:p>
      <w:pPr>
        <w:pStyle w:val="ListParagraph"/>
        <w:numPr>
          <w:ilvl w:val="0"/>
          <w:numId w:val="3"/>
        </w:numPr>
        <w:spacing w:after="60"/>
        <w:jc w:val="both"/>
      </w:pPr>
      <w:r>
        <w:rPr>
          <w:rFonts w:ascii="Helvetica" w:hAnsi="Helvetica" w:cs="Helvetica" w:eastAsia="Helvetica"/>
          <w:color w:val="000000"/>
        </w:rPr>
        <w:t>Les provisions maladie et décès, environ 4,8 milliards de FCFA, ne sont pas calculées et dépassent largement le besoin réel (constat 1).</w:t>
      </w:r>
    </w:p>
    <w:p>
      <w:pPr>
        <w:pStyle w:val="ListParagraph"/>
        <w:numPr>
          <w:ilvl w:val="0"/>
          <w:numId w:val="3"/>
        </w:numPr>
        <w:spacing w:after="60"/>
        <w:jc w:val="both"/>
      </w:pPr>
      <w:r>
        <w:rPr>
          <w:rFonts w:ascii="Helvetica" w:hAnsi="Helvetica" w:cs="Helvetica" w:eastAsia="Helvetica"/>
          <w:color w:val="000000"/>
        </w:rPr>
        <w:t>La garantie maladie perd de l'argent depuis 2025 : 701 679 552 FCFA de déficit sur les huit premiers mois de 2026 (constat 19).</w:t>
      </w:r>
    </w:p>
    <w:p>
      <w:pPr/>
      <w:r>
        <w:rPr>
          <w:rFonts w:ascii="Helvetica" w:hAnsi="Helvetica" w:cs="Helvetica" w:eastAsia="Helvetica"/>
          <w:b/>
          <w:color w:val="000000"/>
        </w:rPr>
        <w:t>Les actions à lancer dans les trois mois (priorité P1).</w:t>
      </w:r>
    </w:p>
    <w:p>
      <w:pPr>
        <w:pStyle w:val="ListParagraph"/>
        <w:numPr>
          <w:ilvl w:val="0"/>
          <w:numId w:val="3"/>
        </w:numPr>
        <w:spacing w:after="60"/>
        <w:jc w:val="both"/>
      </w:pPr>
      <w:r>
        <w:rPr>
          <w:rFonts w:ascii="Helvetica" w:hAnsi="Helvetica" w:cs="Helvetica" w:eastAsia="Helvetica"/>
          <w:color w:val="000000"/>
        </w:rPr>
        <w:t>Fixer par délibération le taux d'intérêt de l'épargne, puis comptabiliser les intérêts dus (constats 6 et 7).</w:t>
      </w:r>
    </w:p>
    <w:p>
      <w:pPr>
        <w:pStyle w:val="ListParagraph"/>
        <w:numPr>
          <w:ilvl w:val="0"/>
          <w:numId w:val="3"/>
        </w:numPr>
        <w:spacing w:after="60"/>
        <w:jc w:val="both"/>
      </w:pPr>
      <w:r>
        <w:rPr>
          <w:rFonts w:ascii="Helvetica" w:hAnsi="Helvetica" w:cs="Helvetica" w:eastAsia="Helvetica"/>
          <w:color w:val="000000"/>
        </w:rPr>
        <w:t>Calculer chaque année les provisions et faire décider le reclassement de l'excédent (constat 1).</w:t>
      </w:r>
    </w:p>
    <w:p>
      <w:pPr>
        <w:pStyle w:val="ListParagraph"/>
        <w:numPr>
          <w:ilvl w:val="0"/>
          <w:numId w:val="3"/>
        </w:numPr>
        <w:spacing w:after="60"/>
        <w:jc w:val="both"/>
      </w:pPr>
      <w:r>
        <w:rPr>
          <w:rFonts w:ascii="Helvetica" w:hAnsi="Helvetica" w:cs="Helvetica" w:eastAsia="Helvetica"/>
          <w:color w:val="000000"/>
        </w:rPr>
        <w:t>Constituer une réserve de trésorerie et établir l'échéancier des sorties d'épargne (constat 11).</w:t>
      </w:r>
    </w:p>
    <w:p>
      <w:pPr>
        <w:pStyle w:val="ListParagraph"/>
        <w:numPr>
          <w:ilvl w:val="0"/>
          <w:numId w:val="3"/>
        </w:numPr>
        <w:spacing w:after="60"/>
        <w:jc w:val="both"/>
      </w:pPr>
      <w:r>
        <w:rPr>
          <w:rFonts w:ascii="Helvetica" w:hAnsi="Helvetica" w:cs="Helvetica" w:eastAsia="Helvetica"/>
          <w:color w:val="000000"/>
        </w:rPr>
        <w:t>Présenter à l'AIRMS un plan de mise en conformité chiffré (constat 14).</w:t>
      </w:r>
    </w:p>
    <w:p>
      <w:pPr>
        <w:pStyle w:val="ListParagraph"/>
        <w:numPr>
          <w:ilvl w:val="0"/>
          <w:numId w:val="3"/>
        </w:numPr>
        <w:spacing w:after="60"/>
        <w:jc w:val="both"/>
      </w:pPr>
      <w:r>
        <w:rPr>
          <w:rFonts w:ascii="Helvetica" w:hAnsi="Helvetica" w:cs="Helvetica" w:eastAsia="Helvetica"/>
          <w:color w:val="000000"/>
        </w:rPr>
        <w:t>Transmettre les données qui manquent aux calculs (constat 26).</w:t>
      </w:r>
    </w:p>
    <w:p>
      <w:pPr/>
      <w:r>
        <w:rPr>
          <w:rFonts w:ascii="Helvetica" w:hAnsi="Helvetica" w:cs="Helvetica" w:eastAsia="Helvetica"/>
          <w:b/>
          <w:color w:val="000000"/>
        </w:rPr>
        <w:t>Le document présente ensuite</w:t>
      </w:r>
      <w:r>
        <w:rPr>
          <w:rFonts w:ascii="Helvetica" w:hAnsi="Helvetica" w:cs="Helvetica" w:eastAsia="Helvetica"/>
          <w:color w:val="000000"/>
        </w:rPr>
        <w:t xml:space="preserve"> les travaux réalisés, les 28 constats avec leur plan d'actions, la cartographie des risques et les prochaines étapes. Chaque action est classée par complexité (faible, moyenne, élevée) et par priorité (P1 à P4).</w:t>
      </w:r>
    </w:p>
    <w:p w14:paraId="1CB0F08F" w14:textId="77777777" w:rsidR="006F0CB0" w:rsidRDefault="006F0CB0" w:rsidP="006F0CB0">
      <w:pPr>
        <w:pStyle w:val="Heading1"/>
        <w:spacing w:before="100" w:after="100"/>
        <w:sectPr w:rsidR="006F0CB0" w:rsidSect="00A24B2D">
          <w:pgSz w:w="11906" w:h="16838"/>
          <w:pgMar w:top="720" w:right="720" w:bottom="720" w:left="720" w:header="708" w:footer="708" w:gutter="0"/>
          <w:cols w:space="708"/>
          <w:docGrid w:linePitch="360"/>
        </w:sectPr>
      </w:pPr>
    </w:p>
    <w:p w14:paraId="3E26D7F2" w14:textId="337516F2" w:rsidR="00DD04E3" w:rsidRDefault="003A63CB" w:rsidP="00726C7B">
      <w:r>
        <w:rPr>
          <w:noProof/>
        </w:rPr>
        <mc:AlternateContent>
          <mc:Choice Requires="wps">
            <w:drawing>
              <wp:anchor distT="0" distB="0" distL="114300" distR="114300" simplePos="0" relativeHeight="251658274" behindDoc="0" locked="0" layoutInCell="1" allowOverlap="1" wp14:anchorId="0240CFDF" wp14:editId="1EA7B570">
                <wp:simplePos x="0" y="0"/>
                <wp:positionH relativeFrom="margin">
                  <wp:align>center</wp:align>
                </wp:positionH>
                <wp:positionV relativeFrom="paragraph">
                  <wp:posOffset>-1962785</wp:posOffset>
                </wp:positionV>
                <wp:extent cx="4320000" cy="7010400"/>
                <wp:effectExtent l="0" t="0" r="0" b="0"/>
                <wp:wrapNone/>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320000" cy="7010400"/>
                        </a:xfrm>
                        <a:prstGeom prst="roundRect">
                          <a:avLst>
                            <a:gd name="adj" fmla="val 21502"/>
                          </a:avLst>
                        </a:prstGeom>
                        <a:noFill/>
                      </wps:spPr>
                      <wps:txb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1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LES TRAVAUX RÉALISÉS</w:t>
                            </w:r>
                          </w:p>
                        </w:txbxContent>
                      </wps:txbx>
                      <wps:bodyPr rot="0" vert="horz" wrap="square" lIns="91440" tIns="45720" rIns="91440" bIns="45720" anchor="ctr" anchorCtr="0" upright="1">
                        <a:noAutofit/>
                      </wps:bodyPr>
                    </wps:wsp>
                  </a:graphicData>
                </a:graphic>
              </wp:anchor>
            </w:drawing>
          </mc:Choice>
          <mc:Fallback>
            <w:pict>
              <v:roundrect w14:anchorId="0240CFDF" id="Forme automatique 2" o:spid="_x0000_s1033" style="position:absolute;left:0;text-align:left;margin-left:0;margin-top:-154.55pt;width:133.2pt;height:552pt;rotation:90;z-index:251658274;visibility:visible;mso-wrap-style:square;mso-wrap-distance-left:9pt;mso-wrap-distance-top:0;mso-wrap-distance-right:9pt;mso-wrap-distance-bottom:0;mso-position-horizontal:center;mso-position-horizontal-relative:margin;mso-position-vertical:absolute;mso-position-vertical-relative:text;v-text-anchor:middle" arcsize="140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" filled="f" stroked="f">
                <v:textbo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1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LES TRAVAUX RÉALISÉS</w:t>
                      </w:r>
                    </w:p>
                  </w:txbxContent>
                </v:textbox>
                <w10:wrap type="square" anchorx="margin"/>
              </v:roundrect>
            </w:pict>
          </mc:Fallback>
        </mc:AlternateContent>
      </w:r>
      <w:r w:rsidR="00926010">
        <w:rPr>
          <w:noProof/>
          <w14:ligatures w14:val="standardContextual"/>
        </w:rPr>
        <mc:AlternateContent>
          <mc:Choice Requires="wps">
            <w:drawing>
              <wp:anchor distT="0" distB="0" distL="114300" distR="114300" simplePos="0" relativeHeight="251658242" behindDoc="0" locked="0" layoutInCell="1" allowOverlap="1" wp14:anchorId="140E49DA" wp14:editId="17A22642">
                <wp:simplePos x="0" y="0"/>
                <wp:positionH relativeFrom="column">
                  <wp:posOffset>-480060</wp:posOffset>
                </wp:positionH>
                <wp:positionV relativeFrom="paragraph">
                  <wp:posOffset>-510540</wp:posOffset>
                </wp:positionV>
                <wp:extent cx="7574280" cy="10751820"/>
                <wp:effectExtent l="0" t="0" r="26670" b="11430"/>
                <wp:wrapNone/>
                <wp:docPr id="613672107" name="Rectangle 10"/>
                <wp:cNvGraphicFramePr/>
                <a:graphic xmlns:a="http://schemas.openxmlformats.org/drawingml/2006/main">
                  <a:graphicData uri="http://schemas.microsoft.com/office/word/2010/wordprocessingShape">
                    <wps:wsp>
                      <wps:cNvSpPr/>
                      <wps:spPr>
                        <a:xfrm>
                          <a:off x="0" y="0"/>
                          <a:ext cx="7574280" cy="107518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E9B7977" id="Rectangle 10" o:spid="_x0000_s1026" style="position:absolute;margin-left:-37.8pt;margin-top:-40.2pt;width:596.4pt;height:846.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" fillcolor="black [3200]" strokecolor="black [480]" strokeweight="1.5pt"/>
            </w:pict>
          </mc:Fallback>
        </mc:AlternateContent>
      </w:r>
    </w:p>
    <w:p w14:paraId="29A5A8FC" w14:textId="0772451F" w:rsidR="00DD04E3" w:rsidRPr="00DD04E3" w:rsidRDefault="00DD04E3" w:rsidP="00DD04E3"/>
    <w:p w14:paraId="54310350" w14:textId="03E1B19F" w:rsidR="00DD04E3" w:rsidRPr="00DD04E3" w:rsidRDefault="00DD04E3" w:rsidP="00DD04E3"/>
    <w:p w14:paraId="2C2F6B9F" w14:textId="505262C9" w:rsidR="00DD04E3" w:rsidRPr="00DD04E3" w:rsidRDefault="003837AF" w:rsidP="00DD04E3">
      <w:r w:rsidRPr="00AA366B">
        <w:rPr>
          <w:noProof/>
        </w:rPr>
        <w:drawing>
          <wp:anchor distT="0" distB="0" distL="114300" distR="114300" simplePos="0" relativeHeight="251658267" behindDoc="0" locked="0" layoutInCell="1" allowOverlap="1" wp14:anchorId="2ADCBFCC" wp14:editId="1EA4A307">
            <wp:simplePos x="0" y="0"/>
            <wp:positionH relativeFrom="page">
              <wp:align>left</wp:align>
            </wp:positionH>
            <wp:positionV relativeFrom="paragraph">
              <wp:posOffset>167282</wp:posOffset>
            </wp:positionV>
            <wp:extent cx="7548880" cy="7259894"/>
            <wp:effectExtent l="0" t="0" r="0" b="0"/>
            <wp:wrapNone/>
            <wp:docPr id="1746398683" name="Image 15">
              <a:extLst xmlns:a="http://schemas.openxmlformats.org/drawingml/2006/main">
                <a:ext uri="{FF2B5EF4-FFF2-40B4-BE49-F238E27FC236}">
                  <a16:creationId xmlns:a16="http://schemas.microsoft.com/office/drawing/2014/main" id="{C8AC2246-CCF0-4C0C-B1BE-88C1E8DADC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pic:cNvPicPr>
                      <a:picLocks noChangeAspect="1"/>
                    </pic:cNvPicPr>
                  </pic:nvPicPr>
                  <pic:blipFill rotWithShape="1">
                    <a:blip r:embed="rId13" cstate="print">
                      <a:extLst>
                        <a:ext uri="{28A0092B-C50C-407E-A947-70E740481C1C}">
                          <a14:useLocalDpi xmlns:a14="http://schemas.microsoft.com/office/drawing/2010/main" val="0"/>
                        </a:ext>
                      </a:extLst>
                    </a:blip>
                    <a:srcRect l="-175" t="524" r="-2445" b="9082"/>
                    <a:stretch/>
                  </pic:blipFill>
                  <pic:spPr>
                    <a:xfrm>
                      <a:off x="0" y="0"/>
                      <a:ext cx="7548880" cy="7259894"/>
                    </a:xfrm>
                    <a:prstGeom prst="rect">
                      <a:avLst/>
                    </a:prstGeom>
                  </pic:spPr>
                </pic:pic>
              </a:graphicData>
            </a:graphic>
            <wp14:sizeRelH relativeFrom="margin">
              <wp14:pctWidth>0</wp14:pctWidth>
            </wp14:sizeRelH>
            <wp14:sizeRelV relativeFrom="margin">
              <wp14:pctHeight>0</wp14:pctHeight>
            </wp14:sizeRelV>
          </wp:anchor>
        </w:drawing>
      </w:r>
    </w:p>
    <w:p w14:paraId="70F74645" w14:textId="6F9E7C4C" w:rsidR="00DD04E3" w:rsidRPr="00DD04E3" w:rsidRDefault="00DD04E3" w:rsidP="00DD04E3"/>
    <w:p w14:paraId="637B0362" w14:textId="253E5702" w:rsidR="00DD04E3" w:rsidRPr="00DD04E3" w:rsidRDefault="00DD04E3" w:rsidP="00DD04E3"/>
    <w:p w14:paraId="34F038D6" w14:textId="1AAD29FE" w:rsidR="00DD04E3" w:rsidRPr="00DD04E3" w:rsidRDefault="00DD04E3" w:rsidP="00DD04E3"/>
    <w:p w14:paraId="540BCDAD" w14:textId="7FFC1DA8" w:rsidR="00DD04E3" w:rsidRPr="00DD04E3" w:rsidRDefault="00DD04E3" w:rsidP="00DD04E3"/>
    <w:p w14:paraId="62A538EF" w14:textId="19AAF6CF" w:rsidR="00DD04E3" w:rsidRPr="00DD04E3" w:rsidRDefault="00DD04E3" w:rsidP="00DD04E3"/>
    <w:p w14:paraId="6B21056D" w14:textId="70B266D0" w:rsidR="00DD04E3" w:rsidRPr="00DD04E3" w:rsidRDefault="00DD04E3" w:rsidP="00DD04E3"/>
    <w:p w14:paraId="0803D8BE" w14:textId="7ACBC061" w:rsidR="00DD04E3" w:rsidRPr="00DD04E3" w:rsidRDefault="00DD04E3" w:rsidP="00DD04E3"/>
    <w:p w14:paraId="5CCF2E8E" w14:textId="426E6CC9" w:rsidR="00DD04E3" w:rsidRPr="00DD04E3" w:rsidRDefault="00DD04E3" w:rsidP="00DD04E3"/>
    <w:p w14:paraId="2C7A88BD" w14:textId="77777777" w:rsidR="00DD04E3" w:rsidRPr="00DD04E3" w:rsidRDefault="00DD04E3" w:rsidP="00DD04E3"/>
    <w:p w14:paraId="6C8AEE97" w14:textId="77777777" w:rsidR="00DD04E3" w:rsidRPr="00DD04E3" w:rsidRDefault="00DD04E3" w:rsidP="00DD04E3"/>
    <w:p w14:paraId="193F1F69" w14:textId="77777777" w:rsidR="00DD04E3" w:rsidRPr="00DD04E3" w:rsidRDefault="00DD04E3" w:rsidP="00DD04E3"/>
    <w:p w14:paraId="3E78C07D" w14:textId="77777777" w:rsidR="00DD04E3" w:rsidRPr="00DD04E3" w:rsidRDefault="00DD04E3" w:rsidP="00DD04E3"/>
    <w:p w14:paraId="1833AA50" w14:textId="463C0184" w:rsidR="00DD04E3" w:rsidRPr="00DD04E3" w:rsidRDefault="00DD04E3" w:rsidP="00DD04E3">
      <w:pPr>
        <w:tabs>
          <w:tab w:val="left" w:pos="3384"/>
        </w:tabs>
      </w:pPr>
      <w:r>
        <w:tab/>
      </w:r>
    </w:p>
    <w:p w14:paraId="1A14F53F" w14:textId="77777777" w:rsidR="00DD04E3" w:rsidRPr="00DD04E3" w:rsidRDefault="00DD04E3" w:rsidP="00DD04E3"/>
    <w:p w14:paraId="794C1888" w14:textId="77777777" w:rsidR="00DD04E3" w:rsidRPr="00DD04E3" w:rsidRDefault="00DD04E3" w:rsidP="00DD04E3"/>
    <w:p w14:paraId="3D57E509" w14:textId="77777777" w:rsidR="00DD04E3" w:rsidRPr="00DD04E3" w:rsidRDefault="00DD04E3" w:rsidP="00DD04E3"/>
    <w:p w14:paraId="75AB4326" w14:textId="77777777" w:rsidR="00DD04E3" w:rsidRPr="00DD04E3" w:rsidRDefault="00DD04E3" w:rsidP="00DD04E3"/>
    <w:p w14:paraId="242B9CEF" w14:textId="77777777" w:rsidR="00DD04E3" w:rsidRPr="00DD04E3" w:rsidRDefault="00DD04E3" w:rsidP="00DD04E3">
      <w:pPr>
        <w:sectPr w:rsidR="00DD04E3" w:rsidRPr="00DD04E3" w:rsidSect="00A24B2D">
          <w:pgSz w:w="11906" w:h="16838"/>
          <w:pgMar w:top="720" w:right="720" w:bottom="720" w:left="720" w:header="708" w:footer="708" w:gutter="0"/>
          <w:cols w:space="708"/>
          <w:docGrid w:linePitch="360"/>
        </w:sectPr>
      </w:pPr>
    </w:p>
    <w:p>
      <w:pPr>
        <w:pStyle w:val="Heading1"/>
      </w:pPr>
      <w:r>
        <w:t>PARTIE 1 : LES TRAVAUX RÉALISÉS</w:t>
      </w:r>
    </w:p>
    <w:p>
      <w:pPr/>
      <w:r>
        <w:rPr>
          <w:rFonts w:ascii="Helvetica" w:hAnsi="Helvetica" w:cs="Helvetica" w:eastAsia="Helvetica"/>
          <w:color w:val="000000"/>
        </w:rPr>
        <w:t>Cette partie décrit ce qui a été fait, avec quels documents et quels outils.</w:t>
      </w:r>
    </w:p>
    <w:p>
      <w:pPr>
        <w:pStyle w:val="Heading2"/>
      </w:pPr>
      <w:r>
        <w:t>1.1. LE CADRE DE LA MISSION</w:t>
      </w:r>
    </w:p>
    <w:p>
      <w:pPr/>
      <w:r>
        <w:rPr>
          <w:rFonts w:ascii="Helvetica" w:hAnsi="Helvetica" w:cs="Helvetica" w:eastAsia="Helvetica"/>
          <w:b/>
          <w:color w:val="000000"/>
        </w:rPr>
        <w:t>Le volet actuariel et statistique vérifie si le FPPN pourra tenir ses promesses envers les policiers, aujourd'hui et demain.</w:t>
      </w:r>
      <w:r>
        <w:rPr>
          <w:rFonts w:ascii="Helvetica" w:hAnsi="Helvetica" w:cs="Helvetica" w:eastAsia="Helvetica"/>
          <w:color w:val="000000"/>
        </w:rPr>
        <w:t xml:space="preserve"> L'audit comptable vérifie que les comptes sont justes. Le volet actuariel regarde vers l'avenir : ce que le FPPN devra payer, l'argent qu'il a mis de côté, et la disponibilité de cet argent au bon moment. La période étudiée va du 01/01/2020 au 31/08/2026.</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10431"/>
      </w:tblGrid>
      <w:tr>
        <w:tc>
          <w:tcPr>
            <w:tcW w:type="dxa" w:w="10431"/>
            <w:shd w:val="clear" w:color="auto" w:fill="FBE5C8"/>
          </w:tcPr>
          <w:p>
            <w:pPr>
              <w:spacing w:after="40" w:before="40" w:line="252" w:lineRule="auto"/>
            </w:pPr>
            <w:r>
              <w:rPr>
                <w:rFonts w:ascii="Helvetica" w:hAnsi="Helvetica" w:cs="Helvetica" w:eastAsia="Helvetica"/>
                <w:b/>
                <w:sz w:val="19"/>
              </w:rPr>
              <w:t>Le mot « actuariel ».</w:t>
            </w:r>
            <w:r>
              <w:rPr>
                <w:rFonts w:ascii="Helvetica" w:hAnsi="Helvetica" w:cs="Helvetica" w:eastAsia="Helvetica"/>
                <w:sz w:val="19"/>
              </w:rPr>
              <w:t xml:space="preserve"> L'actuariat est le métier qui mesure aujourd'hui des sommes qui seront payées plus tard, par exemple l'épargne remboursée au départ à la retraite ou les soins des retraités.</w:t>
            </w:r>
          </w:p>
        </w:tc>
      </w:tr>
    </w:tbl>
    <w:p/>
    <w:p>
      <w:pPr>
        <w:pStyle w:val="Heading2"/>
      </w:pPr>
      <w:r>
        <w:t>1.2. LES ÉTAPES DES TRAVAUX</w:t>
      </w:r>
    </w:p>
    <w:p>
      <w:pPr>
        <w:pStyle w:val="Caption"/>
        <w:keepNext/>
        <w:jc w:val="left"/>
      </w:pPr>
      <w:r>
        <w:rPr>
          <w:rFonts w:ascii="Helvetica" w:hAnsi="Helvetica" w:cs="Helvetica" w:eastAsia="Helvetica"/>
          <w:b/>
          <w:color w:val="000000"/>
          <w:sz w:val="20"/>
        </w:rPr>
        <w:t xml:space="preserve">Figure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Figure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1</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Les sept étapes des travaux</w:t>
      </w:r>
    </w:p>
    <w:tbl>
      <w:tblPr>
        <w:tblW w:type="auto" w:w="0"/>
        <w:jc w:val="center"/>
        <w:tblBorders>
          <w:top w:val="single" w:sz="12" w:color="FFFFFF"/>
          <w:left w:val="single" w:sz="12" w:color="FFFFFF"/>
          <w:bottom w:val="single" w:sz="12" w:color="FFFFFF"/>
          <w:right w:val="single" w:sz="12" w:color="FFFFFF"/>
          <w:insideH w:val="single" w:sz="12" w:color="FFFFFF"/>
          <w:insideV w:val="single" w:sz="12" w:color="FFFFFF"/>
        </w:tblBorders>
        <w:tblLook w:firstColumn="1" w:firstRow="1" w:lastColumn="0" w:lastRow="0" w:noHBand="0" w:noVBand="1" w:val="04A0"/>
        <w:tblLayout w:type="fixed"/>
      </w:tblPr>
      <w:tblGrid>
        <w:gridCol w:w="1485"/>
        <w:gridCol w:w="1485"/>
        <w:gridCol w:w="1485"/>
        <w:gridCol w:w="1485"/>
        <w:gridCol w:w="1485"/>
        <w:gridCol w:w="1485"/>
        <w:gridCol w:w="1485"/>
      </w:tblGrid>
      <w:tr>
        <w:tc>
          <w:tcPr>
            <w:tcW w:type="dxa" w:w="1485"/>
            <w:vAlign w:val="center"/>
            <w:shd w:val="clear" w:color="auto" w:fill="112A40"/>
          </w:tcPr>
          <w:p>
            <w:pPr>
              <w:spacing w:after="40" w:before="40" w:line="252" w:lineRule="auto"/>
              <w:jc w:val="center"/>
            </w:pPr>
            <w:r>
              <w:rPr>
                <w:rFonts w:ascii="Helvetica" w:hAnsi="Helvetica" w:cs="Helvetica" w:eastAsia="Helvetica"/>
                <w:b/>
                <w:color w:val="FFFFFF"/>
                <w:sz w:val="17"/>
              </w:rPr>
              <w:t>1. Lancement</w:t>
            </w:r>
          </w:p>
        </w:tc>
        <w:tc>
          <w:tcPr>
            <w:tcW w:type="dxa" w:w="1485"/>
            <w:vAlign w:val="center"/>
            <w:shd w:val="clear" w:color="auto" w:fill="112A40"/>
          </w:tcPr>
          <w:p>
            <w:pPr>
              <w:spacing w:after="40" w:before="40" w:line="252" w:lineRule="auto"/>
              <w:jc w:val="center"/>
            </w:pPr>
            <w:r>
              <w:rPr>
                <w:rFonts w:ascii="Helvetica" w:hAnsi="Helvetica" w:cs="Helvetica" w:eastAsia="Helvetica"/>
                <w:b/>
                <w:color w:val="FFFFFF"/>
                <w:sz w:val="17"/>
              </w:rPr>
              <w:t>2. Collecte</w:t>
            </w:r>
          </w:p>
        </w:tc>
        <w:tc>
          <w:tcPr>
            <w:tcW w:type="dxa" w:w="1485"/>
            <w:vAlign w:val="center"/>
            <w:shd w:val="clear" w:color="auto" w:fill="112A40"/>
          </w:tcPr>
          <w:p>
            <w:pPr>
              <w:spacing w:after="40" w:before="40" w:line="252" w:lineRule="auto"/>
              <w:jc w:val="center"/>
            </w:pPr>
            <w:r>
              <w:rPr>
                <w:rFonts w:ascii="Helvetica" w:hAnsi="Helvetica" w:cs="Helvetica" w:eastAsia="Helvetica"/>
                <w:b/>
                <w:color w:val="FFFFFF"/>
                <w:sz w:val="17"/>
              </w:rPr>
              <w:t>3. Entretiens</w:t>
            </w:r>
          </w:p>
        </w:tc>
        <w:tc>
          <w:tcPr>
            <w:tcW w:type="dxa" w:w="1485"/>
            <w:vAlign w:val="center"/>
            <w:shd w:val="clear" w:color="auto" w:fill="112A40"/>
          </w:tcPr>
          <w:p>
            <w:pPr>
              <w:spacing w:after="40" w:before="40" w:line="252" w:lineRule="auto"/>
              <w:jc w:val="center"/>
            </w:pPr>
            <w:r>
              <w:rPr>
                <w:rFonts w:ascii="Helvetica" w:hAnsi="Helvetica" w:cs="Helvetica" w:eastAsia="Helvetica"/>
                <w:b/>
                <w:color w:val="FFFFFF"/>
                <w:sz w:val="17"/>
              </w:rPr>
              <w:t>4. Contrôles</w:t>
            </w:r>
          </w:p>
        </w:tc>
        <w:tc>
          <w:tcPr>
            <w:tcW w:type="dxa" w:w="1485"/>
            <w:vAlign w:val="center"/>
            <w:shd w:val="clear" w:color="auto" w:fill="112A40"/>
          </w:tcPr>
          <w:p>
            <w:pPr>
              <w:spacing w:after="40" w:before="40" w:line="252" w:lineRule="auto"/>
              <w:jc w:val="center"/>
            </w:pPr>
            <w:r>
              <w:rPr>
                <w:rFonts w:ascii="Helvetica" w:hAnsi="Helvetica" w:cs="Helvetica" w:eastAsia="Helvetica"/>
                <w:b/>
                <w:color w:val="FFFFFF"/>
                <w:sz w:val="17"/>
              </w:rPr>
              <w:t>5. Analyses</w:t>
            </w:r>
          </w:p>
        </w:tc>
        <w:tc>
          <w:tcPr>
            <w:tcW w:type="dxa" w:w="1485"/>
            <w:vAlign w:val="center"/>
            <w:shd w:val="clear" w:color="auto" w:fill="EFAC62"/>
          </w:tcPr>
          <w:p>
            <w:pPr>
              <w:spacing w:after="40" w:before="40" w:line="252" w:lineRule="auto"/>
              <w:jc w:val="center"/>
            </w:pPr>
            <w:r>
              <w:rPr>
                <w:rFonts w:ascii="Helvetica" w:hAnsi="Helvetica" w:cs="Helvetica" w:eastAsia="Helvetica"/>
                <w:b/>
                <w:color w:val="FFFFFF"/>
                <w:sz w:val="17"/>
              </w:rPr>
              <w:t>6. Constats</w:t>
            </w:r>
          </w:p>
        </w:tc>
        <w:tc>
          <w:tcPr>
            <w:tcW w:type="dxa" w:w="1485"/>
            <w:vAlign w:val="center"/>
            <w:shd w:val="clear" w:color="auto" w:fill="EFAC62"/>
          </w:tcPr>
          <w:p>
            <w:pPr>
              <w:spacing w:after="40" w:before="40" w:line="252" w:lineRule="auto"/>
              <w:jc w:val="center"/>
            </w:pPr>
            <w:r>
              <w:rPr>
                <w:rFonts w:ascii="Helvetica" w:hAnsi="Helvetica" w:cs="Helvetica" w:eastAsia="Helvetica"/>
                <w:b/>
                <w:color w:val="FFFFFF"/>
                <w:sz w:val="17"/>
              </w:rPr>
              <w:t>7. Plan d'actions</w:t>
            </w:r>
          </w:p>
        </w:tc>
      </w:tr>
      <w:tr>
        <w:tc>
          <w:tcPr>
            <w:tcW w:type="dxa" w:w="1485"/>
            <w:vAlign w:val="center"/>
            <w:shd w:val="clear" w:color="auto" w:fill="F2F2F2"/>
          </w:tcPr>
          <w:p>
            <w:pPr>
              <w:spacing w:after="40" w:before="40" w:line="252" w:lineRule="auto"/>
              <w:jc w:val="center"/>
            </w:pPr>
            <w:r>
              <w:rPr>
                <w:rFonts w:ascii="Helvetica" w:hAnsi="Helvetica" w:cs="Helvetica" w:eastAsia="Helvetica"/>
                <w:b/>
                <w:sz w:val="17"/>
              </w:rPr>
              <w:t>13 et 14/10/2026 : réunions, liste des documents</w:t>
            </w:r>
          </w:p>
        </w:tc>
        <w:tc>
          <w:tcPr>
            <w:tcW w:type="dxa" w:w="1485"/>
            <w:vAlign w:val="center"/>
            <w:shd w:val="clear" w:color="auto" w:fill="F2F2F2"/>
          </w:tcPr>
          <w:p>
            <w:pPr>
              <w:spacing w:after="40" w:before="40" w:line="252" w:lineRule="auto"/>
              <w:jc w:val="center"/>
            </w:pPr>
            <w:r>
              <w:rPr>
                <w:rFonts w:ascii="Helvetica" w:hAnsi="Helvetica" w:cs="Helvetica" w:eastAsia="Helvetica"/>
                <w:sz w:val="17"/>
              </w:rPr>
              <w:t>15 au 23/10/2026 : sept envois du FPPN</w:t>
            </w:r>
          </w:p>
        </w:tc>
        <w:tc>
          <w:tcPr>
            <w:tcW w:type="dxa" w:w="1485"/>
            <w:vAlign w:val="center"/>
            <w:shd w:val="clear" w:color="auto" w:fill="F2F2F2"/>
          </w:tcPr>
          <w:p>
            <w:pPr>
              <w:spacing w:after="40" w:before="40" w:line="252" w:lineRule="auto"/>
              <w:jc w:val="center"/>
            </w:pPr>
            <w:r>
              <w:rPr>
                <w:rFonts w:ascii="Helvetica" w:hAnsi="Helvetica" w:cs="Helvetica" w:eastAsia="Helvetica"/>
                <w:sz w:val="17"/>
              </w:rPr>
              <w:t>16 et 19/10/2026 : prestations, cotisations, comptabilité</w:t>
            </w:r>
          </w:p>
        </w:tc>
        <w:tc>
          <w:tcPr>
            <w:tcW w:type="dxa" w:w="1485"/>
            <w:vAlign w:val="center"/>
            <w:shd w:val="clear" w:color="auto" w:fill="F2F2F2"/>
          </w:tcPr>
          <w:p>
            <w:pPr>
              <w:spacing w:after="40" w:before="40" w:line="252" w:lineRule="auto"/>
              <w:jc w:val="center"/>
            </w:pPr>
            <w:r>
              <w:rPr>
                <w:rFonts w:ascii="Helvetica" w:hAnsi="Helvetica" w:cs="Helvetica" w:eastAsia="Helvetica"/>
                <w:sz w:val="17"/>
              </w:rPr>
              <w:t>4 454 416 lignes de précomptes, 7 balances</w:t>
            </w:r>
          </w:p>
        </w:tc>
        <w:tc>
          <w:tcPr>
            <w:tcW w:type="dxa" w:w="1485"/>
            <w:vAlign w:val="center"/>
            <w:shd w:val="clear" w:color="auto" w:fill="F2F2F2"/>
          </w:tcPr>
          <w:p>
            <w:pPr>
              <w:spacing w:after="40" w:before="40" w:line="252" w:lineRule="auto"/>
              <w:jc w:val="center"/>
            </w:pPr>
            <w:r>
              <w:rPr>
                <w:rFonts w:ascii="Helvetica" w:hAnsi="Helvetica" w:cs="Helvetica" w:eastAsia="Helvetica"/>
                <w:sz w:val="17"/>
              </w:rPr>
              <w:t>provisions, épargne, liquidité, placements, 36 ratios</w:t>
            </w:r>
          </w:p>
        </w:tc>
        <w:tc>
          <w:tcPr>
            <w:tcW w:type="dxa" w:w="1485"/>
            <w:vAlign w:val="center"/>
            <w:shd w:val="clear" w:color="auto" w:fill="F2F2F2"/>
          </w:tcPr>
          <w:p>
            <w:pPr>
              <w:spacing w:after="40" w:before="40" w:line="252" w:lineRule="auto"/>
              <w:jc w:val="center"/>
            </w:pPr>
            <w:r>
              <w:rPr>
                <w:rFonts w:ascii="Helvetica" w:hAnsi="Helvetica" w:cs="Helvetica" w:eastAsia="Helvetica"/>
                <w:sz w:val="17"/>
              </w:rPr>
              <w:t>28 constats, 10 risques notés</w:t>
            </w:r>
          </w:p>
        </w:tc>
        <w:tc>
          <w:tcPr>
            <w:tcW w:type="dxa" w:w="1485"/>
            <w:vAlign w:val="center"/>
            <w:shd w:val="clear" w:color="auto" w:fill="F2F2F2"/>
          </w:tcPr>
          <w:p>
            <w:pPr>
              <w:spacing w:after="40" w:before="40" w:line="252" w:lineRule="auto"/>
              <w:jc w:val="center"/>
            </w:pPr>
            <w:r>
              <w:rPr>
                <w:rFonts w:ascii="Helvetica" w:hAnsi="Helvetica" w:cs="Helvetica" w:eastAsia="Helvetica"/>
                <w:sz w:val="17"/>
              </w:rPr>
              <w:t>actions classées par complexité et priorité</w:t>
            </w:r>
          </w:p>
        </w:tc>
      </w:tr>
    </w:tbl>
    <w:p>
      <w:pPr>
        <w:spacing w:after="200"/>
        <w:jc w:val="left"/>
      </w:pPr>
      <w:r>
        <w:rPr>
          <w:rFonts w:ascii="Helvetica" w:hAnsi="Helvetica" w:cs="Helvetica" w:eastAsia="Helvetica"/>
          <w:color w:val="000000"/>
          <w:sz w:val="16"/>
        </w:rPr>
        <w:t>Source : Adenka.</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2</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Ce qui a été fait</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1928"/>
        <w:gridCol w:w="5102"/>
        <w:gridCol w:w="3402"/>
      </w:tblGrid>
      <w:tr>
        <w:trPr>
          <w:tblHeader/>
        </w:trPr>
        <w:tc>
          <w:tcPr>
            <w:tcW w:type="dxa" w:w="1928"/>
            <w:shd w:val="clear" w:color="auto" w:fill="000000"/>
          </w:tcPr>
          <w:p>
            <w:pPr>
              <w:spacing w:after="40" w:before="40" w:line="240" w:lineRule="auto"/>
              <w:jc w:val="left"/>
            </w:pPr>
            <w:r>
              <w:rPr>
                <w:rFonts w:ascii="Helvetica" w:hAnsi="Helvetica" w:cs="Helvetica" w:eastAsia="Helvetica"/>
                <w:b/>
                <w:color w:val="FFFFFF"/>
                <w:sz w:val="18"/>
              </w:rPr>
              <w:t>Étape</w:t>
            </w:r>
          </w:p>
        </w:tc>
        <w:tc>
          <w:tcPr>
            <w:tcW w:type="dxa" w:w="5102"/>
            <w:shd w:val="clear" w:color="auto" w:fill="000000"/>
          </w:tcPr>
          <w:p>
            <w:pPr>
              <w:spacing w:after="40" w:before="40" w:line="240" w:lineRule="auto"/>
              <w:jc w:val="center"/>
            </w:pPr>
            <w:r>
              <w:rPr>
                <w:rFonts w:ascii="Helvetica" w:hAnsi="Helvetica" w:cs="Helvetica" w:eastAsia="Helvetica"/>
                <w:b/>
                <w:color w:val="FFFFFF"/>
                <w:sz w:val="18"/>
              </w:rPr>
              <w:t>Ce qui a été fait</w:t>
            </w:r>
          </w:p>
        </w:tc>
        <w:tc>
          <w:tcPr>
            <w:tcW w:type="dxa" w:w="3402"/>
            <w:shd w:val="clear" w:color="auto" w:fill="000000"/>
          </w:tcPr>
          <w:p>
            <w:pPr>
              <w:spacing w:after="40" w:before="40" w:line="240" w:lineRule="auto"/>
              <w:jc w:val="center"/>
            </w:pPr>
            <w:r>
              <w:rPr>
                <w:rFonts w:ascii="Helvetica" w:hAnsi="Helvetica" w:cs="Helvetica" w:eastAsia="Helvetica"/>
                <w:b/>
                <w:color w:val="FFFFFF"/>
                <w:sz w:val="18"/>
              </w:rPr>
              <w:t>En chiffres</w:t>
            </w:r>
          </w:p>
        </w:tc>
      </w:tr>
      <w:tr>
        <w:tc>
          <w:tcPr>
            <w:tcW w:type="dxa" w:w="1928"/>
            <w:shd w:val="clear" w:color="auto" w:fill="CCCCCC"/>
          </w:tcPr>
          <w:p>
            <w:pPr>
              <w:spacing w:after="40" w:before="40" w:line="240" w:lineRule="auto"/>
              <w:jc w:val="left"/>
            </w:pPr>
            <w:r>
              <w:rPr>
                <w:rFonts w:ascii="Helvetica" w:hAnsi="Helvetica" w:cs="Helvetica" w:eastAsia="Helvetica"/>
                <w:b/>
                <w:color w:val="000000"/>
                <w:sz w:val="18"/>
              </w:rPr>
              <w:t>Lancement</w:t>
            </w:r>
          </w:p>
        </w:tc>
        <w:tc>
          <w:tcPr>
            <w:tcW w:type="dxa" w:w="5102"/>
          </w:tcPr>
          <w:p>
            <w:pPr>
              <w:spacing w:after="40" w:before="40" w:line="240" w:lineRule="auto"/>
              <w:jc w:val="left"/>
            </w:pPr>
            <w:r>
              <w:rPr>
                <w:rFonts w:ascii="Helvetica" w:hAnsi="Helvetica" w:cs="Helvetica" w:eastAsia="Helvetica"/>
                <w:color w:val="000000"/>
                <w:sz w:val="18"/>
              </w:rPr>
              <w:t>Réunions de lancement des 13 et 14/10/2026 et liste des documents demandés au FPPN</w:t>
            </w:r>
          </w:p>
        </w:tc>
        <w:tc>
          <w:tcPr>
            <w:tcW w:type="dxa" w:w="3402"/>
          </w:tcPr>
          <w:p>
            <w:pPr>
              <w:spacing w:after="40" w:before="40" w:line="240" w:lineRule="auto"/>
              <w:jc w:val="left"/>
            </w:pPr>
            <w:r>
              <w:rPr>
                <w:rFonts w:ascii="Helvetica" w:hAnsi="Helvetica" w:cs="Helvetica" w:eastAsia="Helvetica"/>
                <w:color w:val="000000"/>
                <w:sz w:val="18"/>
              </w:rPr>
              <w:t>88 documents demandés, sans doublon</w:t>
            </w:r>
          </w:p>
        </w:tc>
      </w:tr>
      <w:tr>
        <w:tc>
          <w:tcPr>
            <w:tcW w:type="dxa" w:w="1928"/>
            <w:shd w:val="clear" w:color="auto" w:fill="CCCCCC"/>
          </w:tcPr>
          <w:p>
            <w:pPr>
              <w:spacing w:after="40" w:before="40" w:line="240" w:lineRule="auto"/>
              <w:jc w:val="left"/>
            </w:pPr>
            <w:r>
              <w:rPr>
                <w:rFonts w:ascii="Helvetica" w:hAnsi="Helvetica" w:cs="Helvetica" w:eastAsia="Helvetica"/>
                <w:b/>
                <w:color w:val="000000"/>
                <w:sz w:val="18"/>
              </w:rPr>
              <w:t>Collecte</w:t>
            </w:r>
          </w:p>
        </w:tc>
        <w:tc>
          <w:tcPr>
            <w:tcW w:type="dxa" w:w="5102"/>
            <w:shd w:val="clear" w:color="auto" w:fill="E8E8E8"/>
          </w:tcPr>
          <w:p>
            <w:pPr>
              <w:spacing w:after="40" w:before="40" w:line="240" w:lineRule="auto"/>
              <w:jc w:val="left"/>
            </w:pPr>
            <w:r>
              <w:rPr>
                <w:rFonts w:ascii="Helvetica" w:hAnsi="Helvetica" w:cs="Helvetica" w:eastAsia="Helvetica"/>
                <w:color w:val="000000"/>
                <w:sz w:val="18"/>
              </w:rPr>
              <w:t>Sept envois du FPPN du 15/10 au 23/10/2026, vérifiés un par un</w:t>
            </w:r>
          </w:p>
        </w:tc>
        <w:tc>
          <w:tcPr>
            <w:tcW w:type="dxa" w:w="3402"/>
            <w:shd w:val="clear" w:color="auto" w:fill="E8E8E8"/>
          </w:tcPr>
          <w:p>
            <w:pPr>
              <w:spacing w:after="40" w:before="40" w:line="240" w:lineRule="auto"/>
              <w:jc w:val="left"/>
            </w:pPr>
            <w:r>
              <w:rPr>
                <w:rFonts w:ascii="Helvetica" w:hAnsi="Helvetica" w:cs="Helvetica" w:eastAsia="Helvetica"/>
                <w:color w:val="000000"/>
                <w:sz w:val="18"/>
              </w:rPr>
              <w:t>6 reçus, 39 en partie, 43 non reçus</w:t>
            </w:r>
          </w:p>
        </w:tc>
      </w:tr>
      <w:tr>
        <w:tc>
          <w:tcPr>
            <w:tcW w:type="dxa" w:w="1928"/>
            <w:shd w:val="clear" w:color="auto" w:fill="CCCCCC"/>
          </w:tcPr>
          <w:p>
            <w:pPr>
              <w:spacing w:after="40" w:before="40" w:line="240" w:lineRule="auto"/>
              <w:jc w:val="left"/>
            </w:pPr>
            <w:r>
              <w:rPr>
                <w:rFonts w:ascii="Helvetica" w:hAnsi="Helvetica" w:cs="Helvetica" w:eastAsia="Helvetica"/>
                <w:b/>
                <w:color w:val="000000"/>
                <w:sz w:val="18"/>
              </w:rPr>
              <w:t>Entretiens</w:t>
            </w:r>
          </w:p>
        </w:tc>
        <w:tc>
          <w:tcPr>
            <w:tcW w:type="dxa" w:w="5102"/>
          </w:tcPr>
          <w:p>
            <w:pPr>
              <w:spacing w:after="40" w:before="40" w:line="240" w:lineRule="auto"/>
              <w:jc w:val="left"/>
            </w:pPr>
            <w:r>
              <w:rPr>
                <w:rFonts w:ascii="Helvetica" w:hAnsi="Helvetica" w:cs="Helvetica" w:eastAsia="Helvetica"/>
                <w:color w:val="000000"/>
                <w:sz w:val="18"/>
              </w:rPr>
              <w:t>Service des prestations, responsable des cotisations, chef comptable (16 et 19/10/2026)</w:t>
            </w:r>
          </w:p>
        </w:tc>
        <w:tc>
          <w:tcPr>
            <w:tcW w:type="dxa" w:w="3402"/>
          </w:tcPr>
          <w:p>
            <w:pPr>
              <w:spacing w:after="40" w:before="40" w:line="240" w:lineRule="auto"/>
              <w:jc w:val="left"/>
            </w:pPr>
            <w:r>
              <w:rPr>
                <w:rFonts w:ascii="Helvetica" w:hAnsi="Helvetica" w:cs="Helvetica" w:eastAsia="Helvetica"/>
                <w:color w:val="000000"/>
                <w:sz w:val="18"/>
              </w:rPr>
              <w:t>4 entretiens avec compte rendu</w:t>
            </w:r>
          </w:p>
        </w:tc>
      </w:tr>
      <w:tr>
        <w:tc>
          <w:tcPr>
            <w:tcW w:type="dxa" w:w="1928"/>
            <w:shd w:val="clear" w:color="auto" w:fill="CCCCCC"/>
          </w:tcPr>
          <w:p>
            <w:pPr>
              <w:spacing w:after="40" w:before="40" w:line="240" w:lineRule="auto"/>
              <w:jc w:val="left"/>
            </w:pPr>
            <w:r>
              <w:rPr>
                <w:rFonts w:ascii="Helvetica" w:hAnsi="Helvetica" w:cs="Helvetica" w:eastAsia="Helvetica"/>
                <w:b/>
                <w:color w:val="000000"/>
                <w:sz w:val="18"/>
              </w:rPr>
              <w:t>Contrôles des données</w:t>
            </w:r>
          </w:p>
        </w:tc>
        <w:tc>
          <w:tcPr>
            <w:tcW w:type="dxa" w:w="5102"/>
            <w:shd w:val="clear" w:color="auto" w:fill="E8E8E8"/>
          </w:tcPr>
          <w:p>
            <w:pPr>
              <w:spacing w:after="40" w:before="40" w:line="240" w:lineRule="auto"/>
              <w:jc w:val="left"/>
            </w:pPr>
            <w:r>
              <w:rPr>
                <w:rFonts w:ascii="Helvetica" w:hAnsi="Helvetica" w:cs="Helvetica" w:eastAsia="Helvetica"/>
                <w:color w:val="000000"/>
                <w:sz w:val="18"/>
              </w:rPr>
              <w:t>Vrai format des fichiers, lignes de total, montants doublés, fichiers vides, comparaison des fichiers envoyés et reçus</w:t>
            </w:r>
          </w:p>
        </w:tc>
        <w:tc>
          <w:tcPr>
            <w:tcW w:type="dxa" w:w="3402"/>
            <w:shd w:val="clear" w:color="auto" w:fill="E8E8E8"/>
          </w:tcPr>
          <w:p>
            <w:pPr>
              <w:spacing w:after="40" w:before="40" w:line="240" w:lineRule="auto"/>
              <w:jc w:val="left"/>
            </w:pPr>
            <w:r>
              <w:rPr>
                <w:rFonts w:ascii="Helvetica" w:hAnsi="Helvetica" w:cs="Helvetica" w:eastAsia="Helvetica"/>
                <w:color w:val="000000"/>
                <w:sz w:val="18"/>
              </w:rPr>
              <w:t>4 454 416 lignes de précomptes, 506 feuilles, 7 balances comptables</w:t>
            </w:r>
          </w:p>
        </w:tc>
      </w:tr>
      <w:tr>
        <w:tc>
          <w:tcPr>
            <w:tcW w:type="dxa" w:w="1928"/>
            <w:shd w:val="clear" w:color="auto" w:fill="CCCCCC"/>
          </w:tcPr>
          <w:p>
            <w:pPr>
              <w:spacing w:after="40" w:before="40" w:line="240" w:lineRule="auto"/>
              <w:jc w:val="left"/>
            </w:pPr>
            <w:r>
              <w:rPr>
                <w:rFonts w:ascii="Helvetica" w:hAnsi="Helvetica" w:cs="Helvetica" w:eastAsia="Helvetica"/>
                <w:b/>
                <w:color w:val="000000"/>
                <w:sz w:val="18"/>
              </w:rPr>
              <w:t>Analyses</w:t>
            </w:r>
          </w:p>
        </w:tc>
        <w:tc>
          <w:tcPr>
            <w:tcW w:type="dxa" w:w="5102"/>
          </w:tcPr>
          <w:p>
            <w:pPr>
              <w:spacing w:after="40" w:before="40" w:line="240" w:lineRule="auto"/>
              <w:jc w:val="left"/>
            </w:pPr>
            <w:r>
              <w:rPr>
                <w:rFonts w:ascii="Helvetica" w:hAnsi="Helvetica" w:cs="Helvetica" w:eastAsia="Helvetica"/>
                <w:color w:val="000000"/>
                <w:sz w:val="18"/>
              </w:rPr>
              <w:t>Effectifs, cotisations, soins, décès, épargne, prêts, retraités, provisions, liquidité, placements, 36 règles de solidité, projection</w:t>
            </w:r>
          </w:p>
        </w:tc>
        <w:tc>
          <w:tcPr>
            <w:tcW w:type="dxa" w:w="3402"/>
          </w:tcPr>
          <w:p>
            <w:pPr>
              <w:spacing w:after="40" w:before="40" w:line="240" w:lineRule="auto"/>
              <w:jc w:val="left"/>
            </w:pPr>
            <w:r>
              <w:rPr>
                <w:rFonts w:ascii="Helvetica" w:hAnsi="Helvetica" w:cs="Helvetica" w:eastAsia="Helvetica"/>
                <w:color w:val="000000"/>
                <w:sz w:val="18"/>
              </w:rPr>
              <w:t>14 thèmes analysés</w:t>
            </w:r>
          </w:p>
        </w:tc>
      </w:tr>
      <w:tr>
        <w:tc>
          <w:tcPr>
            <w:tcW w:type="dxa" w:w="1928"/>
            <w:shd w:val="clear" w:color="auto" w:fill="CCCCCC"/>
          </w:tcPr>
          <w:p>
            <w:pPr>
              <w:spacing w:after="40" w:before="40" w:line="240" w:lineRule="auto"/>
              <w:jc w:val="left"/>
            </w:pPr>
            <w:r>
              <w:rPr>
                <w:rFonts w:ascii="Helvetica" w:hAnsi="Helvetica" w:cs="Helvetica" w:eastAsia="Helvetica"/>
                <w:b/>
                <w:color w:val="000000"/>
                <w:sz w:val="18"/>
              </w:rPr>
              <w:t>Vérification</w:t>
            </w:r>
          </w:p>
        </w:tc>
        <w:tc>
          <w:tcPr>
            <w:tcW w:type="dxa" w:w="5102"/>
            <w:shd w:val="clear" w:color="auto" w:fill="E8E8E8"/>
          </w:tcPr>
          <w:p>
            <w:pPr>
              <w:spacing w:after="40" w:before="40" w:line="240" w:lineRule="auto"/>
              <w:jc w:val="left"/>
            </w:pPr>
            <w:r>
              <w:rPr>
                <w:rFonts w:ascii="Helvetica" w:hAnsi="Helvetica" w:cs="Helvetica" w:eastAsia="Helvetica"/>
                <w:color w:val="000000"/>
                <w:sz w:val="18"/>
              </w:rPr>
              <w:t>Chaque chiffre recalculé une seconde fois depuis les fichiers d'origine</w:t>
            </w:r>
          </w:p>
        </w:tc>
        <w:tc>
          <w:tcPr>
            <w:tcW w:type="dxa" w:w="3402"/>
            <w:shd w:val="clear" w:color="auto" w:fill="E8E8E8"/>
          </w:tcPr>
          <w:p>
            <w:pPr>
              <w:spacing w:after="40" w:before="40" w:line="240" w:lineRule="auto"/>
              <w:jc w:val="left"/>
            </w:pPr>
            <w:r>
              <w:rPr>
                <w:rFonts w:ascii="Helvetica" w:hAnsi="Helvetica" w:cs="Helvetica" w:eastAsia="Helvetica"/>
                <w:color w:val="000000"/>
                <w:sz w:val="18"/>
              </w:rPr>
              <w:t>2 885 chiffres contrôlés, 0 écart</w:t>
            </w:r>
          </w:p>
        </w:tc>
      </w:tr>
      <w:tr>
        <w:tc>
          <w:tcPr>
            <w:tcW w:type="dxa" w:w="1928"/>
            <w:shd w:val="clear" w:color="auto" w:fill="CCCCCC"/>
          </w:tcPr>
          <w:p>
            <w:pPr>
              <w:spacing w:after="40" w:before="40" w:line="240" w:lineRule="auto"/>
              <w:jc w:val="left"/>
            </w:pPr>
            <w:r>
              <w:rPr>
                <w:rFonts w:ascii="Helvetica" w:hAnsi="Helvetica" w:cs="Helvetica" w:eastAsia="Helvetica"/>
                <w:b/>
                <w:color w:val="000000"/>
                <w:sz w:val="18"/>
              </w:rPr>
              <w:t>Constats et actions</w:t>
            </w:r>
          </w:p>
        </w:tc>
        <w:tc>
          <w:tcPr>
            <w:tcW w:type="dxa" w:w="5102"/>
          </w:tcPr>
          <w:p>
            <w:pPr>
              <w:spacing w:after="40" w:before="40" w:line="240" w:lineRule="auto"/>
              <w:jc w:val="left"/>
            </w:pPr>
            <w:r>
              <w:rPr>
                <w:rFonts w:ascii="Helvetica" w:hAnsi="Helvetica" w:cs="Helvetica" w:eastAsia="Helvetica"/>
                <w:color w:val="000000"/>
                <w:sz w:val="18"/>
              </w:rPr>
              <w:t>Constats classés, risques notés, plan d'actions</w:t>
            </w:r>
          </w:p>
        </w:tc>
        <w:tc>
          <w:tcPr>
            <w:tcW w:type="dxa" w:w="3402"/>
          </w:tcPr>
          <w:p>
            <w:pPr>
              <w:spacing w:after="40" w:before="40" w:line="240" w:lineRule="auto"/>
              <w:jc w:val="left"/>
            </w:pPr>
            <w:r>
              <w:rPr>
                <w:rFonts w:ascii="Helvetica" w:hAnsi="Helvetica" w:cs="Helvetica" w:eastAsia="Helvetica"/>
                <w:color w:val="000000"/>
                <w:sz w:val="18"/>
              </w:rPr>
              <w:t>28 constats, 10 risques</w:t>
            </w:r>
          </w:p>
        </w:tc>
      </w:tr>
    </w:tbl>
    <w:p>
      <w:pPr>
        <w:spacing w:after="200"/>
        <w:jc w:val="left"/>
      </w:pPr>
      <w:r>
        <w:rPr>
          <w:rFonts w:ascii="Helvetica" w:hAnsi="Helvetica" w:cs="Helvetica" w:eastAsia="Helvetica"/>
          <w:color w:val="000000"/>
          <w:sz w:val="16"/>
        </w:rPr>
        <w:t>Source : Rapport actuariel et statistique du 23/10/2026 ; liste des documents demandés au 26/10/2026.</w:t>
      </w:r>
    </w:p>
    <w:p>
      <w:pPr>
        <w:pStyle w:val="Heading2"/>
      </w:pPr>
      <w:r>
        <w:t>1.3. LES OUTILS UTILISÉS</w:t>
      </w:r>
    </w:p>
    <w:p>
      <w:pPr>
        <w:pStyle w:val="ListParagraph"/>
        <w:numPr>
          <w:ilvl w:val="0"/>
          <w:numId w:val="3"/>
        </w:numPr>
        <w:spacing w:after="60"/>
        <w:jc w:val="both"/>
      </w:pPr>
      <w:r>
        <w:rPr>
          <w:rFonts w:ascii="Helvetica" w:hAnsi="Helvetica" w:cs="Helvetica" w:eastAsia="Helvetica"/>
          <w:b/>
          <w:color w:val="000000"/>
        </w:rPr>
        <w:t>Des programmes informatiques</w:t>
      </w:r>
      <w:r>
        <w:rPr>
          <w:rFonts w:ascii="Helvetica" w:hAnsi="Helvetica" w:cs="Helvetica" w:eastAsia="Helvetica"/>
          <w:color w:val="000000"/>
        </w:rPr>
        <w:t xml:space="preserve"> pour lire et contrôler plus de quatre millions de lignes de fichiers, y compris des documents scannés.</w:t>
      </w:r>
    </w:p>
    <w:p>
      <w:pPr>
        <w:pStyle w:val="ListParagraph"/>
        <w:numPr>
          <w:ilvl w:val="0"/>
          <w:numId w:val="3"/>
        </w:numPr>
        <w:spacing w:after="60"/>
        <w:jc w:val="both"/>
      </w:pPr>
      <w:r>
        <w:rPr>
          <w:rFonts w:ascii="Helvetica" w:hAnsi="Helvetica" w:cs="Helvetica" w:eastAsia="Helvetica"/>
          <w:b/>
          <w:color w:val="000000"/>
        </w:rPr>
        <w:t>Une empreinte numérique de chaque fichier reçu</w:t>
      </w:r>
      <w:r>
        <w:rPr>
          <w:rFonts w:ascii="Helvetica" w:hAnsi="Helvetica" w:cs="Helvetica" w:eastAsia="Helvetica"/>
          <w:color w:val="000000"/>
        </w:rPr>
        <w:t>, qui prouve que les fichiers analysés sont exactement ceux transmis par le FPPN.</w:t>
      </w:r>
    </w:p>
    <w:p>
      <w:pPr>
        <w:pStyle w:val="ListParagraph"/>
        <w:numPr>
          <w:ilvl w:val="0"/>
          <w:numId w:val="3"/>
        </w:numPr>
        <w:spacing w:after="60"/>
        <w:jc w:val="both"/>
      </w:pPr>
      <w:r>
        <w:rPr>
          <w:rFonts w:ascii="Helvetica" w:hAnsi="Helvetica" w:cs="Helvetica" w:eastAsia="Helvetica"/>
          <w:b/>
          <w:color w:val="000000"/>
        </w:rPr>
        <w:t>Un classeur Excel de 99 onglets</w:t>
      </w:r>
      <w:r>
        <w:rPr>
          <w:rFonts w:ascii="Helvetica" w:hAnsi="Helvetica" w:cs="Helvetica" w:eastAsia="Helvetica"/>
          <w:color w:val="000000"/>
        </w:rPr>
        <w:t>, où chaque calcul est refait par une formule visible et expliquée.</w:t>
      </w:r>
    </w:p>
    <w:p>
      <w:pPr>
        <w:pStyle w:val="ListParagraph"/>
        <w:numPr>
          <w:ilvl w:val="0"/>
          <w:numId w:val="3"/>
        </w:numPr>
        <w:spacing w:after="60"/>
        <w:jc w:val="both"/>
      </w:pPr>
      <w:r>
        <w:rPr>
          <w:rFonts w:ascii="Helvetica" w:hAnsi="Helvetica" w:cs="Helvetica" w:eastAsia="Helvetica"/>
          <w:b/>
          <w:color w:val="000000"/>
        </w:rPr>
        <w:t>Un contrôle automatique</w:t>
      </w:r>
      <w:r>
        <w:rPr>
          <w:rFonts w:ascii="Helvetica" w:hAnsi="Helvetica" w:cs="Helvetica" w:eastAsia="Helvetica"/>
          <w:color w:val="000000"/>
        </w:rPr>
        <w:t xml:space="preserve"> qui retrouve chacun des 2 885 chiffres du rapport dans les calculs.</w:t>
      </w:r>
    </w:p>
    <w:p w14:paraId="1CB0F08F" w14:textId="77777777" w:rsidR="006F0CB0" w:rsidRDefault="006F0CB0" w:rsidP="006F0CB0">
      <w:pPr>
        <w:pStyle w:val="Heading1"/>
        <w:spacing w:before="100" w:after="100"/>
        <w:sectPr w:rsidR="006F0CB0" w:rsidSect="00A24B2D">
          <w:pgSz w:w="11906" w:h="16838"/>
          <w:pgMar w:top="720" w:right="720" w:bottom="720" w:left="720" w:header="708" w:footer="708" w:gutter="0"/>
          <w:cols w:space="708"/>
          <w:docGrid w:linePitch="360"/>
        </w:sectPr>
      </w:pPr>
    </w:p>
    <w:p w14:paraId="3E26D7F2" w14:textId="337516F2" w:rsidR="00DD04E3" w:rsidRDefault="003A63CB" w:rsidP="00726C7B">
      <w:r>
        <w:rPr>
          <w:noProof/>
        </w:rPr>
        <mc:AlternateContent>
          <mc:Choice Requires="wps">
            <w:drawing>
              <wp:anchor distT="0" distB="0" distL="114300" distR="114300" simplePos="0" relativeHeight="251658274" behindDoc="0" locked="0" layoutInCell="1" allowOverlap="1" wp14:anchorId="0240CFDF" wp14:editId="1EA7B570">
                <wp:simplePos x="0" y="0"/>
                <wp:positionH relativeFrom="margin">
                  <wp:align>center</wp:align>
                </wp:positionH>
                <wp:positionV relativeFrom="paragraph">
                  <wp:posOffset>-1962785</wp:posOffset>
                </wp:positionV>
                <wp:extent cx="4320000" cy="7010400"/>
                <wp:effectExtent l="0" t="0" r="0" b="0"/>
                <wp:wrapNone/>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320000" cy="7010400"/>
                        </a:xfrm>
                        <a:prstGeom prst="roundRect">
                          <a:avLst>
                            <a:gd name="adj" fmla="val 21502"/>
                          </a:avLst>
                        </a:prstGeom>
                        <a:noFill/>
                      </wps:spPr>
                      <wps:txb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2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LES CHIFFRES CLÉS</w:t>
                            </w:r>
                          </w:p>
                        </w:txbxContent>
                      </wps:txbx>
                      <wps:bodyPr rot="0" vert="horz" wrap="square" lIns="91440" tIns="45720" rIns="91440" bIns="45720" anchor="ctr" anchorCtr="0" upright="1">
                        <a:noAutofit/>
                      </wps:bodyPr>
                    </wps:wsp>
                  </a:graphicData>
                </a:graphic>
              </wp:anchor>
            </w:drawing>
          </mc:Choice>
          <mc:Fallback>
            <w:pict>
              <v:roundrect w14:anchorId="0240CFDF" id="Forme automatique 2" o:spid="_x0000_s1033" style="position:absolute;left:0;text-align:left;margin-left:0;margin-top:-154.55pt;width:133.2pt;height:552pt;rotation:90;z-index:251658274;visibility:visible;mso-wrap-style:square;mso-wrap-distance-left:9pt;mso-wrap-distance-top:0;mso-wrap-distance-right:9pt;mso-wrap-distance-bottom:0;mso-position-horizontal:center;mso-position-horizontal-relative:margin;mso-position-vertical:absolute;mso-position-vertical-relative:text;v-text-anchor:middle" arcsize="140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" filled="f" stroked="f">
                <v:textbo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2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LES CHIFFRES CLÉS</w:t>
                      </w:r>
                    </w:p>
                  </w:txbxContent>
                </v:textbox>
                <w10:wrap type="square" anchorx="margin"/>
              </v:roundrect>
            </w:pict>
          </mc:Fallback>
        </mc:AlternateContent>
      </w:r>
      <w:r w:rsidR="00926010">
        <w:rPr>
          <w:noProof/>
          <w14:ligatures w14:val="standardContextual"/>
        </w:rPr>
        <mc:AlternateContent>
          <mc:Choice Requires="wps">
            <w:drawing>
              <wp:anchor distT="0" distB="0" distL="114300" distR="114300" simplePos="0" relativeHeight="251658242" behindDoc="0" locked="0" layoutInCell="1" allowOverlap="1" wp14:anchorId="140E49DA" wp14:editId="17A22642">
                <wp:simplePos x="0" y="0"/>
                <wp:positionH relativeFrom="column">
                  <wp:posOffset>-480060</wp:posOffset>
                </wp:positionH>
                <wp:positionV relativeFrom="paragraph">
                  <wp:posOffset>-510540</wp:posOffset>
                </wp:positionV>
                <wp:extent cx="7574280" cy="10751820"/>
                <wp:effectExtent l="0" t="0" r="26670" b="11430"/>
                <wp:wrapNone/>
                <wp:docPr id="613672107" name="Rectangle 10"/>
                <wp:cNvGraphicFramePr/>
                <a:graphic xmlns:a="http://schemas.openxmlformats.org/drawingml/2006/main">
                  <a:graphicData uri="http://schemas.microsoft.com/office/word/2010/wordprocessingShape">
                    <wps:wsp>
                      <wps:cNvSpPr/>
                      <wps:spPr>
                        <a:xfrm>
                          <a:off x="0" y="0"/>
                          <a:ext cx="7574280" cy="107518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E9B7977" id="Rectangle 10" o:spid="_x0000_s1026" style="position:absolute;margin-left:-37.8pt;margin-top:-40.2pt;width:596.4pt;height:846.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" fillcolor="black [3200]" strokecolor="black [480]" strokeweight="1.5pt"/>
            </w:pict>
          </mc:Fallback>
        </mc:AlternateContent>
      </w:r>
    </w:p>
    <w:p w14:paraId="29A5A8FC" w14:textId="0772451F" w:rsidR="00DD04E3" w:rsidRPr="00DD04E3" w:rsidRDefault="00DD04E3" w:rsidP="00DD04E3"/>
    <w:p w14:paraId="54310350" w14:textId="03E1B19F" w:rsidR="00DD04E3" w:rsidRPr="00DD04E3" w:rsidRDefault="00DD04E3" w:rsidP="00DD04E3"/>
    <w:p w14:paraId="2C2F6B9F" w14:textId="505262C9" w:rsidR="00DD04E3" w:rsidRPr="00DD04E3" w:rsidRDefault="003837AF" w:rsidP="00DD04E3">
      <w:r w:rsidRPr="00AA366B">
        <w:rPr>
          <w:noProof/>
        </w:rPr>
        <w:drawing>
          <wp:anchor distT="0" distB="0" distL="114300" distR="114300" simplePos="0" relativeHeight="251658267" behindDoc="0" locked="0" layoutInCell="1" allowOverlap="1" wp14:anchorId="2ADCBFCC" wp14:editId="1EA4A307">
            <wp:simplePos x="0" y="0"/>
            <wp:positionH relativeFrom="page">
              <wp:align>left</wp:align>
            </wp:positionH>
            <wp:positionV relativeFrom="paragraph">
              <wp:posOffset>167282</wp:posOffset>
            </wp:positionV>
            <wp:extent cx="7548880" cy="7259894"/>
            <wp:effectExtent l="0" t="0" r="0" b="0"/>
            <wp:wrapNone/>
            <wp:docPr id="1746398683" name="Image 15">
              <a:extLst xmlns:a="http://schemas.openxmlformats.org/drawingml/2006/main">
                <a:ext uri="{FF2B5EF4-FFF2-40B4-BE49-F238E27FC236}">
                  <a16:creationId xmlns:a16="http://schemas.microsoft.com/office/drawing/2014/main" id="{C8AC2246-CCF0-4C0C-B1BE-88C1E8DADC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pic:cNvPicPr>
                      <a:picLocks noChangeAspect="1"/>
                    </pic:cNvPicPr>
                  </pic:nvPicPr>
                  <pic:blipFill rotWithShape="1">
                    <a:blip r:embed="rId13" cstate="print">
                      <a:extLst>
                        <a:ext uri="{28A0092B-C50C-407E-A947-70E740481C1C}">
                          <a14:useLocalDpi xmlns:a14="http://schemas.microsoft.com/office/drawing/2010/main" val="0"/>
                        </a:ext>
                      </a:extLst>
                    </a:blip>
                    <a:srcRect l="-175" t="524" r="-2445" b="9082"/>
                    <a:stretch/>
                  </pic:blipFill>
                  <pic:spPr>
                    <a:xfrm>
                      <a:off x="0" y="0"/>
                      <a:ext cx="7548880" cy="7259894"/>
                    </a:xfrm>
                    <a:prstGeom prst="rect">
                      <a:avLst/>
                    </a:prstGeom>
                  </pic:spPr>
                </pic:pic>
              </a:graphicData>
            </a:graphic>
            <wp14:sizeRelH relativeFrom="margin">
              <wp14:pctWidth>0</wp14:pctWidth>
            </wp14:sizeRelH>
            <wp14:sizeRelV relativeFrom="margin">
              <wp14:pctHeight>0</wp14:pctHeight>
            </wp14:sizeRelV>
          </wp:anchor>
        </w:drawing>
      </w:r>
    </w:p>
    <w:p w14:paraId="70F74645" w14:textId="6F9E7C4C" w:rsidR="00DD04E3" w:rsidRPr="00DD04E3" w:rsidRDefault="00DD04E3" w:rsidP="00DD04E3"/>
    <w:p w14:paraId="637B0362" w14:textId="253E5702" w:rsidR="00DD04E3" w:rsidRPr="00DD04E3" w:rsidRDefault="00DD04E3" w:rsidP="00DD04E3"/>
    <w:p w14:paraId="34F038D6" w14:textId="1AAD29FE" w:rsidR="00DD04E3" w:rsidRPr="00DD04E3" w:rsidRDefault="00DD04E3" w:rsidP="00DD04E3"/>
    <w:p w14:paraId="540BCDAD" w14:textId="7FFC1DA8" w:rsidR="00DD04E3" w:rsidRPr="00DD04E3" w:rsidRDefault="00DD04E3" w:rsidP="00DD04E3"/>
    <w:p w14:paraId="62A538EF" w14:textId="19AAF6CF" w:rsidR="00DD04E3" w:rsidRPr="00DD04E3" w:rsidRDefault="00DD04E3" w:rsidP="00DD04E3"/>
    <w:p w14:paraId="6B21056D" w14:textId="70B266D0" w:rsidR="00DD04E3" w:rsidRPr="00DD04E3" w:rsidRDefault="00DD04E3" w:rsidP="00DD04E3"/>
    <w:p w14:paraId="0803D8BE" w14:textId="7ACBC061" w:rsidR="00DD04E3" w:rsidRPr="00DD04E3" w:rsidRDefault="00DD04E3" w:rsidP="00DD04E3"/>
    <w:p w14:paraId="5CCF2E8E" w14:textId="426E6CC9" w:rsidR="00DD04E3" w:rsidRPr="00DD04E3" w:rsidRDefault="00DD04E3" w:rsidP="00DD04E3"/>
    <w:p w14:paraId="2C7A88BD" w14:textId="77777777" w:rsidR="00DD04E3" w:rsidRPr="00DD04E3" w:rsidRDefault="00DD04E3" w:rsidP="00DD04E3"/>
    <w:p w14:paraId="6C8AEE97" w14:textId="77777777" w:rsidR="00DD04E3" w:rsidRPr="00DD04E3" w:rsidRDefault="00DD04E3" w:rsidP="00DD04E3"/>
    <w:p w14:paraId="193F1F69" w14:textId="77777777" w:rsidR="00DD04E3" w:rsidRPr="00DD04E3" w:rsidRDefault="00DD04E3" w:rsidP="00DD04E3"/>
    <w:p w14:paraId="3E78C07D" w14:textId="77777777" w:rsidR="00DD04E3" w:rsidRPr="00DD04E3" w:rsidRDefault="00DD04E3" w:rsidP="00DD04E3"/>
    <w:p w14:paraId="1833AA50" w14:textId="463C0184" w:rsidR="00DD04E3" w:rsidRPr="00DD04E3" w:rsidRDefault="00DD04E3" w:rsidP="00DD04E3">
      <w:pPr>
        <w:tabs>
          <w:tab w:val="left" w:pos="3384"/>
        </w:tabs>
      </w:pPr>
      <w:r>
        <w:tab/>
      </w:r>
    </w:p>
    <w:p w14:paraId="1A14F53F" w14:textId="77777777" w:rsidR="00DD04E3" w:rsidRPr="00DD04E3" w:rsidRDefault="00DD04E3" w:rsidP="00DD04E3"/>
    <w:p w14:paraId="794C1888" w14:textId="77777777" w:rsidR="00DD04E3" w:rsidRPr="00DD04E3" w:rsidRDefault="00DD04E3" w:rsidP="00DD04E3"/>
    <w:p w14:paraId="3D57E509" w14:textId="77777777" w:rsidR="00DD04E3" w:rsidRPr="00DD04E3" w:rsidRDefault="00DD04E3" w:rsidP="00DD04E3"/>
    <w:p w14:paraId="75AB4326" w14:textId="77777777" w:rsidR="00DD04E3" w:rsidRPr="00DD04E3" w:rsidRDefault="00DD04E3" w:rsidP="00DD04E3"/>
    <w:p w14:paraId="242B9CEF" w14:textId="77777777" w:rsidR="00DD04E3" w:rsidRPr="00DD04E3" w:rsidRDefault="00DD04E3" w:rsidP="00DD04E3">
      <w:pPr>
        <w:sectPr w:rsidR="00DD04E3" w:rsidRPr="00DD04E3" w:rsidSect="00A24B2D">
          <w:pgSz w:w="11906" w:h="16838"/>
          <w:pgMar w:top="720" w:right="720" w:bottom="720" w:left="720" w:header="708" w:footer="708" w:gutter="0"/>
          <w:cols w:space="708"/>
          <w:docGrid w:linePitch="360"/>
        </w:sectPr>
      </w:pPr>
    </w:p>
    <w:p>
      <w:pPr>
        <w:pStyle w:val="Heading1"/>
      </w:pPr>
      <w:r>
        <w:t>PARTIE 2 : LES CHIFFRES CLÉS</w:t>
      </w:r>
    </w:p>
    <w:p>
      <w:pPr/>
      <w:r>
        <w:rPr>
          <w:rFonts w:ascii="Helvetica" w:hAnsi="Helvetica" w:cs="Helvetica" w:eastAsia="Helvetica"/>
          <w:color w:val="000000"/>
        </w:rPr>
        <w:t>Cette partie montre en images les grandes évolutions du FPPN de 2020 au 31/08/2026.</w:t>
      </w:r>
    </w:p>
    <w:p>
      <w:pPr>
        <w:pStyle w:val="Heading2"/>
      </w:pPr>
      <w:r>
        <w:t>2.1. L'ÉPARGNE DES POLICIERS ET L'ARGENT MIS DE CÔTÉ</w:t>
      </w:r>
    </w:p>
    <w:p>
      <w:pPr/>
      <w:r>
        <w:rPr>
          <w:rFonts w:ascii="Helvetica" w:hAnsi="Helvetica" w:cs="Helvetica" w:eastAsia="Helvetica"/>
          <w:b/>
          <w:color w:val="000000"/>
        </w:rPr>
        <w:t>L'épargne due augmente beaucoup plus vite que l'argent réservé pour la rembourser.</w:t>
      </w:r>
      <w:r>
        <w:rPr>
          <w:rFonts w:ascii="Helvetica" w:hAnsi="Helvetica" w:cs="Helvetica" w:eastAsia="Helvetica"/>
          <w:color w:val="000000"/>
        </w:rPr>
        <w:t xml:space="preserve"> L'épargne passe d'environ 10,8 milliards de FCFA en 2020 à environ 15,7 milliards de FCFA au 31/08/2026. L'argent réservé n'en couvre que 16,28 %.</w:t>
      </w:r>
    </w:p>
    <w:p>
      <w:pPr>
        <w:pStyle w:val="Caption"/>
        <w:keepNext/>
        <w:jc w:val="left"/>
      </w:pPr>
      <w:r>
        <w:rPr>
          <w:rFonts w:ascii="Helvetica" w:hAnsi="Helvetica" w:cs="Helvetica" w:eastAsia="Helvetica"/>
          <w:b/>
          <w:color w:val="000000"/>
          <w:sz w:val="20"/>
        </w:rPr>
        <w:t xml:space="preserve">Figure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Figure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2</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Épargne due et argent réservé pour la rembourser (milliards de FCFA)</w:t>
      </w:r>
    </w:p>
    <w:p>
      <w:pPr>
        <w:keepNext/>
        <w:jc w:val="center"/>
      </w:pPr>
      <w:r>
        <w:drawing>
          <wp:inline distT="0" distB="0" distL="0" distR="0">
            <wp:extent cx="5760000" cy="2880000"/>
            <wp:effectExtent l="0" t="0" r="0" b="0"/>
            <wp:docPr id="9001" name="Graphique 1"/>
            <wp:cNvGraphicFramePr/>
            <a:graphic xmlns:a="http://schemas.openxmlformats.org/drawingml/2006/main">
              <a:graphicData uri="http://schemas.openxmlformats.org/drawingml/2006/chart">
                <c:chart xmlns:c="http://schemas.openxmlformats.org/drawingml/2006/chart" r:id="rId1"/>
              </a:graphicData>
            </a:graphic>
          </wp:inline>
        </w:drawing>
      </w:r>
    </w:p>
    <w:p>
      <w:pPr>
        <w:spacing w:after="200"/>
        <w:jc w:val="left"/>
      </w:pPr>
      <w:r>
        <w:rPr>
          <w:rFonts w:ascii="Helvetica" w:hAnsi="Helvetica" w:cs="Helvetica" w:eastAsia="Helvetica"/>
          <w:color w:val="000000"/>
          <w:sz w:val="16"/>
        </w:rPr>
        <w:t>Source : Rapport actuariel et statistique du 23/10/2026, diapositives 13 et 90.</w:t>
      </w:r>
    </w:p>
    <w:p>
      <w:pPr>
        <w:pStyle w:val="Heading2"/>
      </w:pPr>
      <w:r>
        <w:t>2.2. LA CONSOMMATION DES COTISATIONS PAR LES SOINS ET LES DÉCÈS</w:t>
      </w:r>
    </w:p>
    <w:p>
      <w:pPr/>
      <w:r>
        <w:rPr>
          <w:rFonts w:ascii="Helvetica" w:hAnsi="Helvetica" w:cs="Helvetica" w:eastAsia="Helvetica"/>
          <w:b/>
          <w:color w:val="000000"/>
        </w:rPr>
        <w:t>Les soins consomment presque toutes les cotisations maladie en 2026, alors que le décès reste très excédentaire.</w:t>
      </w:r>
      <w:r>
        <w:rPr>
          <w:rFonts w:ascii="Helvetica" w:hAnsi="Helvetica" w:cs="Helvetica" w:eastAsia="Helvetica"/>
          <w:color w:val="000000"/>
        </w:rPr>
        <w:t xml:space="preserve"> Les deux lignes grises montrent la fourchette de 70 % à 80 % fixée par l'AIRMS pour l'ensemble des garanties.</w:t>
      </w:r>
    </w:p>
    <w:p>
      <w:pPr>
        <w:pStyle w:val="Caption"/>
        <w:keepNext/>
        <w:jc w:val="left"/>
      </w:pPr>
      <w:r>
        <w:rPr>
          <w:rFonts w:ascii="Helvetica" w:hAnsi="Helvetica" w:cs="Helvetica" w:eastAsia="Helvetica"/>
          <w:b/>
          <w:color w:val="000000"/>
          <w:sz w:val="20"/>
        </w:rPr>
        <w:t xml:space="preserve">Figure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Figure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3</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Part des cotisations consommée par les prestations (%)</w:t>
      </w:r>
    </w:p>
    <w:p>
      <w:pPr>
        <w:keepNext/>
        <w:jc w:val="center"/>
      </w:pPr>
      <w:r>
        <w:drawing>
          <wp:inline distT="0" distB="0" distL="0" distR="0">
            <wp:extent cx="5760000" cy="3240000"/>
            <wp:effectExtent l="0" t="0" r="0" b="0"/>
            <wp:docPr id="9002" name="Graphique 2"/>
            <wp:cNvGraphicFramePr/>
            <a:graphic xmlns:a="http://schemas.openxmlformats.org/drawingml/2006/main">
              <a:graphicData uri="http://schemas.openxmlformats.org/drawingml/2006/chart">
                <c:chart xmlns:c="http://schemas.openxmlformats.org/drawingml/2006/chart" r:id="rId2"/>
              </a:graphicData>
            </a:graphic>
          </wp:inline>
        </w:drawing>
      </w:r>
    </w:p>
    <w:p>
      <w:pPr>
        <w:spacing w:after="200"/>
        <w:jc w:val="left"/>
      </w:pPr>
      <w:r>
        <w:rPr>
          <w:rFonts w:ascii="Helvetica" w:hAnsi="Helvetica" w:cs="Helvetica" w:eastAsia="Helvetica"/>
          <w:color w:val="000000"/>
          <w:sz w:val="16"/>
        </w:rPr>
        <w:t>Source : Rapport actuariel et statistique du 23/10/2026, diapositives 13 et 75.</w:t>
      </w:r>
    </w:p>
    <w:p>
      <w:pPr>
        <w:pStyle w:val="Heading2"/>
      </w:pPr>
      <w:r>
        <w:t>2.3. LES FONDS PROPRES</w:t>
      </w:r>
    </w:p>
    <w:p>
      <w:pPr/>
      <w:r>
        <w:rPr>
          <w:rFonts w:ascii="Helvetica" w:hAnsi="Helvetica" w:cs="Helvetica" w:eastAsia="Helvetica"/>
          <w:b/>
          <w:color w:val="000000"/>
        </w:rPr>
        <w:t>Les excédents de 2020 à 2025 réduisent les pertes passées sans les effacer, et 2026 marque un recul.</w:t>
      </w:r>
    </w:p>
    <w:p>
      <w:pPr>
        <w:pStyle w:val="Caption"/>
        <w:keepNext/>
        <w:jc w:val="left"/>
      </w:pPr>
      <w:r>
        <w:rPr>
          <w:rFonts w:ascii="Helvetica" w:hAnsi="Helvetica" w:cs="Helvetica" w:eastAsia="Helvetica"/>
          <w:b/>
          <w:color w:val="000000"/>
          <w:sz w:val="20"/>
        </w:rPr>
        <w:t xml:space="preserve">Figure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Figure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4</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Fonds propres et résultat de l'année (milliards de FCFA)</w:t>
      </w:r>
    </w:p>
    <w:p>
      <w:pPr>
        <w:keepNext/>
        <w:jc w:val="center"/>
      </w:pPr>
      <w:r>
        <w:drawing>
          <wp:inline distT="0" distB="0" distL="0" distR="0">
            <wp:extent cx="5760000" cy="2880000"/>
            <wp:effectExtent l="0" t="0" r="0" b="0"/>
            <wp:docPr id="9003" name="Graphique 3"/>
            <wp:cNvGraphicFramePr/>
            <a:graphic xmlns:a="http://schemas.openxmlformats.org/drawingml/2006/main">
              <a:graphicData uri="http://schemas.openxmlformats.org/drawingml/2006/chart">
                <c:chart xmlns:c="http://schemas.openxmlformats.org/drawingml/2006/chart" r:id="rId3"/>
              </a:graphicData>
            </a:graphic>
          </wp:inline>
        </w:drawing>
      </w:r>
    </w:p>
    <w:p>
      <w:pPr>
        <w:spacing w:after="200"/>
        <w:jc w:val="left"/>
      </w:pPr>
      <w:r>
        <w:rPr>
          <w:rFonts w:ascii="Helvetica" w:hAnsi="Helvetica" w:cs="Helvetica" w:eastAsia="Helvetica"/>
          <w:color w:val="000000"/>
          <w:sz w:val="16"/>
        </w:rPr>
        <w:t>Source : Rapport actuariel et statistique du 23/10/2026, diapositive 161.</w:t>
      </w:r>
    </w:p>
    <w:p>
      <w:pPr>
        <w:pStyle w:val="Heading2"/>
      </w:pPr>
      <w:r>
        <w:t>2.4. LES SOMMES MISES DE CÔTÉ FACE AUX BESOINS</w:t>
      </w:r>
    </w:p>
    <w:p>
      <w:pPr/>
      <w:r>
        <w:rPr>
          <w:rFonts w:ascii="Helvetica" w:hAnsi="Helvetica" w:cs="Helvetica" w:eastAsia="Helvetica"/>
          <w:b/>
          <w:color w:val="000000"/>
        </w:rPr>
        <w:t>Trop d'argent est mis de côté pour la maladie et le décès, et rien pour les intérêts de l'épargne et les prêts en retard.</w:t>
      </w:r>
    </w:p>
    <w:p>
      <w:pPr>
        <w:pStyle w:val="Caption"/>
        <w:keepNext/>
        <w:jc w:val="left"/>
      </w:pPr>
      <w:r>
        <w:rPr>
          <w:rFonts w:ascii="Helvetica" w:hAnsi="Helvetica" w:cs="Helvetica" w:eastAsia="Helvetica"/>
          <w:b/>
          <w:color w:val="000000"/>
          <w:sz w:val="20"/>
        </w:rPr>
        <w:t xml:space="preserve">Figure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Figure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5</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Montants au bilan et besoins mesurés (milliards de FCFA, arrondis)</w:t>
      </w:r>
    </w:p>
    <w:p>
      <w:pPr>
        <w:keepNext/>
        <w:jc w:val="center"/>
      </w:pPr>
      <w:r>
        <w:drawing>
          <wp:inline distT="0" distB="0" distL="0" distR="0">
            <wp:extent cx="5760000" cy="2880000"/>
            <wp:effectExtent l="0" t="0" r="0" b="0"/>
            <wp:docPr id="9004" name="Graphique 4"/>
            <wp:cNvGraphicFramePr/>
            <a:graphic xmlns:a="http://schemas.openxmlformats.org/drawingml/2006/main">
              <a:graphicData uri="http://schemas.openxmlformats.org/drawingml/2006/chart">
                <c:chart xmlns:c="http://schemas.openxmlformats.org/drawingml/2006/chart" r:id="rId4"/>
              </a:graphicData>
            </a:graphic>
          </wp:inline>
        </w:drawing>
      </w:r>
    </w:p>
    <w:p>
      <w:pPr>
        <w:spacing w:after="200"/>
        <w:jc w:val="left"/>
      </w:pPr>
      <w:r>
        <w:rPr>
          <w:rFonts w:ascii="Helvetica" w:hAnsi="Helvetica" w:cs="Helvetica" w:eastAsia="Helvetica"/>
          <w:color w:val="000000"/>
          <w:sz w:val="16"/>
        </w:rPr>
        <w:t>Source : Rapport actuariel et statistique du 23/10/2026, diapositives 144 et 145. Montants exacts : maladie 2 867 602 878 FCFA au bilan et 12 481 392 FCFA de besoin, décès 1 961 695 412 FCFA et 7 100 000 FCFA, intérêts 3 278 913 238 FCFA, prêts 14 016 392 FCFA.</w:t>
      </w:r>
    </w:p>
    <w:p>
      <w:pPr>
        <w:pStyle w:val="Heading2"/>
      </w:pPr>
      <w:r>
        <w:t>2.5. LE MANQUE D'ARGENT DISPONIBLE</w:t>
      </w:r>
    </w:p>
    <w:p>
      <w:pPr/>
      <w:r>
        <w:rPr>
          <w:rFonts w:ascii="Helvetica" w:hAnsi="Helvetica" w:cs="Helvetica" w:eastAsia="Helvetica"/>
          <w:b/>
          <w:color w:val="000000"/>
        </w:rPr>
        <w:t>Si l'épargne continue de sortir au rythme observé, il manquerait environ 12,6 milliards de FCFA en cinq ans</w:t>
      </w:r>
      <w:r>
        <w:rPr>
          <w:rFonts w:ascii="Helvetica" w:hAnsi="Helvetica" w:cs="Helvetica" w:eastAsia="Helvetica"/>
          <w:color w:val="000000"/>
        </w:rPr>
        <w:t>, sans compter les nouvelles cotisations.</w:t>
      </w:r>
    </w:p>
    <w:p>
      <w:pPr>
        <w:pStyle w:val="Caption"/>
        <w:keepNext/>
        <w:jc w:val="left"/>
      </w:pPr>
      <w:r>
        <w:rPr>
          <w:rFonts w:ascii="Helvetica" w:hAnsi="Helvetica" w:cs="Helvetica" w:eastAsia="Helvetica"/>
          <w:b/>
          <w:color w:val="000000"/>
          <w:sz w:val="20"/>
        </w:rPr>
        <w:t xml:space="preserve">Figure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Figure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6</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Manque d'argent disponible cumulé, année par année (milliards de FCFA)</w:t>
      </w:r>
    </w:p>
    <w:p>
      <w:pPr>
        <w:keepNext/>
        <w:jc w:val="center"/>
      </w:pPr>
      <w:r>
        <w:drawing>
          <wp:inline distT="0" distB="0" distL="0" distR="0">
            <wp:extent cx="5760000" cy="2520000"/>
            <wp:effectExtent l="0" t="0" r="0" b="0"/>
            <wp:docPr id="9005" name="Graphique 5"/>
            <wp:cNvGraphicFramePr/>
            <a:graphic xmlns:a="http://schemas.openxmlformats.org/drawingml/2006/main">
              <a:graphicData uri="http://schemas.openxmlformats.org/drawingml/2006/chart">
                <c:chart xmlns:c="http://schemas.openxmlformats.org/drawingml/2006/chart" r:id="rId15"/>
              </a:graphicData>
            </a:graphic>
          </wp:inline>
        </w:drawing>
      </w:r>
    </w:p>
    <w:p>
      <w:pPr>
        <w:spacing w:after="200"/>
        <w:jc w:val="left"/>
      </w:pPr>
      <w:r>
        <w:rPr>
          <w:rFonts w:ascii="Helvetica" w:hAnsi="Helvetica" w:cs="Helvetica" w:eastAsia="Helvetica"/>
          <w:color w:val="000000"/>
          <w:sz w:val="16"/>
        </w:rPr>
        <w:t>Source : Rapport actuariel et statistique du 23/10/2026, diapositive 155.</w:t>
      </w:r>
    </w:p>
    <w:p w14:paraId="1CB0F08F" w14:textId="77777777" w:rsidR="006F0CB0" w:rsidRDefault="006F0CB0" w:rsidP="006F0CB0">
      <w:pPr>
        <w:pStyle w:val="Heading1"/>
        <w:spacing w:before="100" w:after="100"/>
        <w:sectPr w:rsidR="006F0CB0" w:rsidSect="00A24B2D">
          <w:pgSz w:w="11906" w:h="16838"/>
          <w:pgMar w:top="720" w:right="720" w:bottom="720" w:left="720" w:header="708" w:footer="708" w:gutter="0"/>
          <w:cols w:space="708"/>
          <w:docGrid w:linePitch="360"/>
        </w:sectPr>
      </w:pPr>
    </w:p>
    <w:p w14:paraId="3E26D7F2" w14:textId="337516F2" w:rsidR="00DD04E3" w:rsidRDefault="003A63CB" w:rsidP="00726C7B">
      <w:r>
        <w:rPr>
          <w:noProof/>
        </w:rPr>
        <mc:AlternateContent>
          <mc:Choice Requires="wps">
            <w:drawing>
              <wp:anchor distT="0" distB="0" distL="114300" distR="114300" simplePos="0" relativeHeight="251658274" behindDoc="0" locked="0" layoutInCell="1" allowOverlap="1" wp14:anchorId="0240CFDF" wp14:editId="1EA7B570">
                <wp:simplePos x="0" y="0"/>
                <wp:positionH relativeFrom="margin">
                  <wp:align>center</wp:align>
                </wp:positionH>
                <wp:positionV relativeFrom="paragraph">
                  <wp:posOffset>-1962785</wp:posOffset>
                </wp:positionV>
                <wp:extent cx="4320000" cy="7010400"/>
                <wp:effectExtent l="0" t="0" r="0" b="0"/>
                <wp:wrapNone/>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320000" cy="7010400"/>
                        </a:xfrm>
                        <a:prstGeom prst="roundRect">
                          <a:avLst>
                            <a:gd name="adj" fmla="val 21502"/>
                          </a:avLst>
                        </a:prstGeom>
                        <a:noFill/>
                      </wps:spPr>
                      <wps:txb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3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LES CONSTATS ET LE PLAN D'ACTIONS</w:t>
                            </w:r>
                          </w:p>
                        </w:txbxContent>
                      </wps:txbx>
                      <wps:bodyPr rot="0" vert="horz" wrap="square" lIns="91440" tIns="45720" rIns="91440" bIns="45720" anchor="ctr" anchorCtr="0" upright="1">
                        <a:noAutofit/>
                      </wps:bodyPr>
                    </wps:wsp>
                  </a:graphicData>
                </a:graphic>
              </wp:anchor>
            </w:drawing>
          </mc:Choice>
          <mc:Fallback>
            <w:pict>
              <v:roundrect w14:anchorId="0240CFDF" id="Forme automatique 2" o:spid="_x0000_s1033" style="position:absolute;left:0;text-align:left;margin-left:0;margin-top:-154.55pt;width:133.2pt;height:552pt;rotation:90;z-index:251658274;visibility:visible;mso-wrap-style:square;mso-wrap-distance-left:9pt;mso-wrap-distance-top:0;mso-wrap-distance-right:9pt;mso-wrap-distance-bottom:0;mso-position-horizontal:center;mso-position-horizontal-relative:margin;mso-position-vertical:absolute;mso-position-vertical-relative:text;v-text-anchor:middle" arcsize="140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" filled="f" stroked="f">
                <v:textbo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3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LES CONSTATS ET LE PLAN D'ACTIONS</w:t>
                      </w:r>
                    </w:p>
                  </w:txbxContent>
                </v:textbox>
                <w10:wrap type="square" anchorx="margin"/>
              </v:roundrect>
            </w:pict>
          </mc:Fallback>
        </mc:AlternateContent>
      </w:r>
      <w:r w:rsidR="00926010">
        <w:rPr>
          <w:noProof/>
          <w14:ligatures w14:val="standardContextual"/>
        </w:rPr>
        <mc:AlternateContent>
          <mc:Choice Requires="wps">
            <w:drawing>
              <wp:anchor distT="0" distB="0" distL="114300" distR="114300" simplePos="0" relativeHeight="251658242" behindDoc="0" locked="0" layoutInCell="1" allowOverlap="1" wp14:anchorId="140E49DA" wp14:editId="17A22642">
                <wp:simplePos x="0" y="0"/>
                <wp:positionH relativeFrom="column">
                  <wp:posOffset>-480060</wp:posOffset>
                </wp:positionH>
                <wp:positionV relativeFrom="paragraph">
                  <wp:posOffset>-510540</wp:posOffset>
                </wp:positionV>
                <wp:extent cx="7574280" cy="10751820"/>
                <wp:effectExtent l="0" t="0" r="26670" b="11430"/>
                <wp:wrapNone/>
                <wp:docPr id="613672107" name="Rectangle 10"/>
                <wp:cNvGraphicFramePr/>
                <a:graphic xmlns:a="http://schemas.openxmlformats.org/drawingml/2006/main">
                  <a:graphicData uri="http://schemas.microsoft.com/office/word/2010/wordprocessingShape">
                    <wps:wsp>
                      <wps:cNvSpPr/>
                      <wps:spPr>
                        <a:xfrm>
                          <a:off x="0" y="0"/>
                          <a:ext cx="7574280" cy="107518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E9B7977" id="Rectangle 10" o:spid="_x0000_s1026" style="position:absolute;margin-left:-37.8pt;margin-top:-40.2pt;width:596.4pt;height:846.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" fillcolor="black [3200]" strokecolor="black [480]" strokeweight="1.5pt"/>
            </w:pict>
          </mc:Fallback>
        </mc:AlternateContent>
      </w:r>
    </w:p>
    <w:p w14:paraId="29A5A8FC" w14:textId="0772451F" w:rsidR="00DD04E3" w:rsidRPr="00DD04E3" w:rsidRDefault="00DD04E3" w:rsidP="00DD04E3"/>
    <w:p w14:paraId="54310350" w14:textId="03E1B19F" w:rsidR="00DD04E3" w:rsidRPr="00DD04E3" w:rsidRDefault="00DD04E3" w:rsidP="00DD04E3"/>
    <w:p w14:paraId="2C2F6B9F" w14:textId="505262C9" w:rsidR="00DD04E3" w:rsidRPr="00DD04E3" w:rsidRDefault="003837AF" w:rsidP="00DD04E3">
      <w:r w:rsidRPr="00AA366B">
        <w:rPr>
          <w:noProof/>
        </w:rPr>
        <w:drawing>
          <wp:anchor distT="0" distB="0" distL="114300" distR="114300" simplePos="0" relativeHeight="251658267" behindDoc="0" locked="0" layoutInCell="1" allowOverlap="1" wp14:anchorId="2ADCBFCC" wp14:editId="1EA4A307">
            <wp:simplePos x="0" y="0"/>
            <wp:positionH relativeFrom="page">
              <wp:align>left</wp:align>
            </wp:positionH>
            <wp:positionV relativeFrom="paragraph">
              <wp:posOffset>167282</wp:posOffset>
            </wp:positionV>
            <wp:extent cx="7548880" cy="7259894"/>
            <wp:effectExtent l="0" t="0" r="0" b="0"/>
            <wp:wrapNone/>
            <wp:docPr id="1746398683" name="Image 15">
              <a:extLst xmlns:a="http://schemas.openxmlformats.org/drawingml/2006/main">
                <a:ext uri="{FF2B5EF4-FFF2-40B4-BE49-F238E27FC236}">
                  <a16:creationId xmlns:a16="http://schemas.microsoft.com/office/drawing/2014/main" id="{C8AC2246-CCF0-4C0C-B1BE-88C1E8DADC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pic:cNvPicPr>
                      <a:picLocks noChangeAspect="1"/>
                    </pic:cNvPicPr>
                  </pic:nvPicPr>
                  <pic:blipFill rotWithShape="1">
                    <a:blip r:embed="rId13" cstate="print">
                      <a:extLst>
                        <a:ext uri="{28A0092B-C50C-407E-A947-70E740481C1C}">
                          <a14:useLocalDpi xmlns:a14="http://schemas.microsoft.com/office/drawing/2010/main" val="0"/>
                        </a:ext>
                      </a:extLst>
                    </a:blip>
                    <a:srcRect l="-175" t="524" r="-2445" b="9082"/>
                    <a:stretch/>
                  </pic:blipFill>
                  <pic:spPr>
                    <a:xfrm>
                      <a:off x="0" y="0"/>
                      <a:ext cx="7548880" cy="7259894"/>
                    </a:xfrm>
                    <a:prstGeom prst="rect">
                      <a:avLst/>
                    </a:prstGeom>
                  </pic:spPr>
                </pic:pic>
              </a:graphicData>
            </a:graphic>
            <wp14:sizeRelH relativeFrom="margin">
              <wp14:pctWidth>0</wp14:pctWidth>
            </wp14:sizeRelH>
            <wp14:sizeRelV relativeFrom="margin">
              <wp14:pctHeight>0</wp14:pctHeight>
            </wp14:sizeRelV>
          </wp:anchor>
        </w:drawing>
      </w:r>
    </w:p>
    <w:p w14:paraId="70F74645" w14:textId="6F9E7C4C" w:rsidR="00DD04E3" w:rsidRPr="00DD04E3" w:rsidRDefault="00DD04E3" w:rsidP="00DD04E3"/>
    <w:p w14:paraId="637B0362" w14:textId="253E5702" w:rsidR="00DD04E3" w:rsidRPr="00DD04E3" w:rsidRDefault="00DD04E3" w:rsidP="00DD04E3"/>
    <w:p w14:paraId="34F038D6" w14:textId="1AAD29FE" w:rsidR="00DD04E3" w:rsidRPr="00DD04E3" w:rsidRDefault="00DD04E3" w:rsidP="00DD04E3"/>
    <w:p w14:paraId="540BCDAD" w14:textId="7FFC1DA8" w:rsidR="00DD04E3" w:rsidRPr="00DD04E3" w:rsidRDefault="00DD04E3" w:rsidP="00DD04E3"/>
    <w:p w14:paraId="62A538EF" w14:textId="19AAF6CF" w:rsidR="00DD04E3" w:rsidRPr="00DD04E3" w:rsidRDefault="00DD04E3" w:rsidP="00DD04E3"/>
    <w:p w14:paraId="6B21056D" w14:textId="70B266D0" w:rsidR="00DD04E3" w:rsidRPr="00DD04E3" w:rsidRDefault="00DD04E3" w:rsidP="00DD04E3"/>
    <w:p w14:paraId="0803D8BE" w14:textId="7ACBC061" w:rsidR="00DD04E3" w:rsidRPr="00DD04E3" w:rsidRDefault="00DD04E3" w:rsidP="00DD04E3"/>
    <w:p w14:paraId="5CCF2E8E" w14:textId="426E6CC9" w:rsidR="00DD04E3" w:rsidRPr="00DD04E3" w:rsidRDefault="00DD04E3" w:rsidP="00DD04E3"/>
    <w:p w14:paraId="2C7A88BD" w14:textId="77777777" w:rsidR="00DD04E3" w:rsidRPr="00DD04E3" w:rsidRDefault="00DD04E3" w:rsidP="00DD04E3"/>
    <w:p w14:paraId="6C8AEE97" w14:textId="77777777" w:rsidR="00DD04E3" w:rsidRPr="00DD04E3" w:rsidRDefault="00DD04E3" w:rsidP="00DD04E3"/>
    <w:p w14:paraId="193F1F69" w14:textId="77777777" w:rsidR="00DD04E3" w:rsidRPr="00DD04E3" w:rsidRDefault="00DD04E3" w:rsidP="00DD04E3"/>
    <w:p w14:paraId="3E78C07D" w14:textId="77777777" w:rsidR="00DD04E3" w:rsidRPr="00DD04E3" w:rsidRDefault="00DD04E3" w:rsidP="00DD04E3"/>
    <w:p w14:paraId="1833AA50" w14:textId="463C0184" w:rsidR="00DD04E3" w:rsidRPr="00DD04E3" w:rsidRDefault="00DD04E3" w:rsidP="00DD04E3">
      <w:pPr>
        <w:tabs>
          <w:tab w:val="left" w:pos="3384"/>
        </w:tabs>
      </w:pPr>
      <w:r>
        <w:tab/>
      </w:r>
    </w:p>
    <w:p w14:paraId="1A14F53F" w14:textId="77777777" w:rsidR="00DD04E3" w:rsidRPr="00DD04E3" w:rsidRDefault="00DD04E3" w:rsidP="00DD04E3"/>
    <w:p w14:paraId="794C1888" w14:textId="77777777" w:rsidR="00DD04E3" w:rsidRPr="00DD04E3" w:rsidRDefault="00DD04E3" w:rsidP="00DD04E3"/>
    <w:p w14:paraId="3D57E509" w14:textId="77777777" w:rsidR="00DD04E3" w:rsidRPr="00DD04E3" w:rsidRDefault="00DD04E3" w:rsidP="00DD04E3"/>
    <w:p w14:paraId="75AB4326" w14:textId="77777777" w:rsidR="00DD04E3" w:rsidRPr="00DD04E3" w:rsidRDefault="00DD04E3" w:rsidP="00DD04E3"/>
    <w:p w14:paraId="242B9CEF" w14:textId="77777777" w:rsidR="00DD04E3" w:rsidRPr="00DD04E3" w:rsidRDefault="00DD04E3" w:rsidP="00DD04E3">
      <w:pPr>
        <w:sectPr w:rsidR="00DD04E3" w:rsidRPr="00DD04E3" w:rsidSect="00A24B2D">
          <w:pgSz w:w="11906" w:h="16838"/>
          <w:pgMar w:top="720" w:right="720" w:bottom="720" w:left="720" w:header="708" w:footer="708" w:gutter="0"/>
          <w:cols w:space="708"/>
          <w:docGrid w:linePitch="360"/>
        </w:sectPr>
      </w:pPr>
    </w:p>
    <w:p>
      <w:pPr>
        <w:pStyle w:val="Heading1"/>
      </w:pPr>
      <w:r>
        <w:t>PARTIE 3 : LES CONSTATS ET LE PLAN D'ACTIONS</w:t>
      </w:r>
    </w:p>
    <w:p>
      <w:pPr/>
      <w:r>
        <w:rPr>
          <w:rFonts w:ascii="Helvetica" w:hAnsi="Helvetica" w:cs="Helvetica" w:eastAsia="Helvetica"/>
          <w:color w:val="000000"/>
        </w:rPr>
        <w:t>Chaque constat est présenté dans une fiche : ce qui a été constaté, pourquoi c'est important, le commentaire d'Adenka, ce que cela veut dire pour les policiers, et les actions à mener.</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10431"/>
      </w:tblGrid>
      <w:tr>
        <w:tc>
          <w:tcPr>
            <w:tcW w:type="dxa" w:w="10431"/>
            <w:shd w:val="clear" w:color="auto" w:fill="F2F2F2"/>
          </w:tcPr>
          <w:p>
            <w:pPr>
              <w:spacing w:after="40" w:before="40" w:line="252" w:lineRule="auto"/>
            </w:pPr>
            <w:r>
              <w:rPr>
                <w:rFonts w:ascii="Helvetica" w:hAnsi="Helvetica" w:cs="Helvetica" w:eastAsia="Helvetica"/>
                <w:b/>
                <w:sz w:val="19"/>
              </w:rPr>
              <w:t>Comment lire les fiches.</w:t>
            </w:r>
            <w:r>
              <w:rPr>
                <w:rFonts w:ascii="Helvetica" w:hAnsi="Helvetica" w:cs="Helvetica" w:eastAsia="Helvetica"/>
                <w:sz w:val="19"/>
              </w:rPr>
              <w:t xml:space="preserve"> La complexité dit combien l'action est difficile à mener : faible (une décision ou un document suffit), moyenne (un travail interne de quelques mois), élevée (il faut un tiers ou un financement). La priorité dit quand agir : </w:t>
            </w:r>
            <w:r>
              <w:rPr>
                <w:rFonts w:ascii="Helvetica" w:hAnsi="Helvetica" w:cs="Helvetica" w:eastAsia="Helvetica"/>
                <w:color w:val="C00000"/>
                <w:sz w:val="19"/>
              </w:rPr>
              <w:t xml:space="preserve">●</w:t>
            </w:r>
            <w:r>
              <w:rPr>
                <w:rFonts w:ascii="Helvetica" w:hAnsi="Helvetica" w:cs="Helvetica" w:eastAsia="Helvetica"/>
                <w:sz w:val="19"/>
              </w:rPr>
              <w:t xml:space="preserve"> P1 dans les 3 mois, </w:t>
            </w:r>
            <w:r>
              <w:rPr>
                <w:rFonts w:ascii="Helvetica" w:hAnsi="Helvetica" w:cs="Helvetica" w:eastAsia="Helvetica"/>
                <w:color w:val="ED7D31"/>
                <w:sz w:val="19"/>
              </w:rPr>
              <w:t xml:space="preserve">●</w:t>
            </w:r>
            <w:r>
              <w:rPr>
                <w:rFonts w:ascii="Helvetica" w:hAnsi="Helvetica" w:cs="Helvetica" w:eastAsia="Helvetica"/>
                <w:sz w:val="19"/>
              </w:rPr>
              <w:t xml:space="preserve"> P2 dans les 6 mois, </w:t>
            </w:r>
            <w:r>
              <w:rPr>
                <w:rFonts w:ascii="Helvetica" w:hAnsi="Helvetica" w:cs="Helvetica" w:eastAsia="Helvetica"/>
                <w:color w:val="FFC000"/>
                <w:sz w:val="19"/>
              </w:rPr>
              <w:t xml:space="preserve">●</w:t>
            </w:r>
            <w:r>
              <w:rPr>
                <w:rFonts w:ascii="Helvetica" w:hAnsi="Helvetica" w:cs="Helvetica" w:eastAsia="Helvetica"/>
                <w:sz w:val="19"/>
              </w:rPr>
              <w:t xml:space="preserve"> P3 de 6 à 18 mois, </w:t>
            </w:r>
            <w:r>
              <w:rPr>
                <w:rFonts w:ascii="Helvetica" w:hAnsi="Helvetica" w:cs="Helvetica" w:eastAsia="Helvetica"/>
                <w:color w:val="70AD47"/>
                <w:sz w:val="19"/>
              </w:rPr>
              <w:t xml:space="preserve">●</w:t>
            </w:r>
            <w:r>
              <w:rPr>
                <w:rFonts w:ascii="Helvetica" w:hAnsi="Helvetica" w:cs="Helvetica" w:eastAsia="Helvetica"/>
                <w:sz w:val="19"/>
              </w:rPr>
              <w:t xml:space="preserve"> P4 au-delà de 18 mois.</w:t>
            </w:r>
          </w:p>
        </w:tc>
      </w:tr>
    </w:tbl>
    <w:p/>
    <w:p>
      <w:pPr>
        <w:pStyle w:val="Heading2"/>
      </w:pPr>
      <w:r>
        <w:t>3.1. PROVISIONS ET DETTES ENVERS LES ADHÉRENTS</w:t>
      </w:r>
    </w:p>
    <w:p>
      <w:pPr>
        <w:pStyle w:val="Heading3"/>
      </w:pPr>
      <w:r>
        <w:t>Constat 1 : Les provisions maladie et décès ne sont pas calculées</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Les provisions pour prestations à payer valent environ 4,8 milliards de FCFA (4 829 298 290 FCFA) : 2 867 602 878 FCFA en maladie et 1 961 695 412 FCFA en décès. Ce montant est le même depuis au moins le 01/09/2020. Le besoin réel mesuré n'est que de 19 581 392 FCFA. Les provisions dépassent donc le besoin d'environ 4,8 milliards de FCFA (4 809 716 898 FCFA).</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Une provision est l'argent mis de côté pour payer les soins et les décès déjà survenus mais pas encore payés. Les statuts (art. 89) et la réglementation (règlement d'exécution n° 004/2022, art. 10) imposent de la recalculer à chaque clôture.</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Le problème n'est pas un manque d'argent mis de côté, mais un argent mal rangé. Ces montants ne correspondent à aucun calcul : ils gonflent les dettes du bilan et font paraître le FPPN plus pauvre qu'il ne l'est sur ce poste. À l'inverse, rien n'est mis de côté pour les intérêts de l'épargne (constat 6). Le FPPN dispose déjà des fichiers nécessaires pour faire le calcul chaque année.</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L'argent existe, mais il n'est pas affecté au bon endroit. Bien rangé, il couvrirait mieux les vraies dettes envers les policiers.</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Établir chaque année une note de calcul des provisions (méthode, fichiers, montant), signée par le directeur général et présentée à l'Assemblée générale.</w:t>
              <w:br/>
              <w:t>• Faire décider par les organes le reclassement de l'excédent, après information de l'AIRMS.</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Moyenne</w:t>
            </w:r>
            <w:r>
              <w:rPr>
                <w:rFonts w:ascii="Helvetica" w:hAnsi="Helvetica" w:cs="Helvetica" w:eastAsia="Helvetica"/>
                <w:sz w:val="19"/>
              </w:rPr>
              <w:t xml:space="preserve">.   Priorité : </w:t>
            </w:r>
            <w:r>
              <w:rPr>
                <w:rFonts w:ascii="Helvetica" w:hAnsi="Helvetica" w:cs="Helvetica" w:eastAsia="Helvetica"/>
                <w:color w:val="C00000"/>
                <w:sz w:val="19"/>
              </w:rPr>
              <w:t xml:space="preserve">●</w:t>
            </w:r>
            <w:r>
              <w:rPr>
                <w:rFonts w:ascii="Helvetica" w:hAnsi="Helvetica" w:cs="Helvetica" w:eastAsia="Helvetica"/>
                <w:sz w:val="19"/>
              </w:rPr>
              <w:t xml:space="preserve"> </w:t>
            </w:r>
            <w:r>
              <w:rPr>
                <w:rFonts w:ascii="Helvetica" w:hAnsi="Helvetica" w:cs="Helvetica" w:eastAsia="Helvetica"/>
                <w:b/>
                <w:sz w:val="19"/>
              </w:rPr>
              <w:t>P1</w:t>
            </w:r>
            <w:r>
              <w:rPr>
                <w:rFonts w:ascii="Helvetica" w:hAnsi="Helvetica" w:cs="Helvetica" w:eastAsia="Helvetica"/>
                <w:sz w:val="19"/>
              </w:rPr>
              <w:t>.   Responsable : Service comptable, Direction générale, Assemblée générale.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6, 123, 126, 144 et 145. Risque R4 de la cartographie.</w:t>
            </w:r>
          </w:p>
        </w:tc>
      </w:tr>
    </w:tbl>
    <w:p/>
    <w:p>
      <w:pPr>
        <w:pStyle w:val="Heading3"/>
      </w:pPr>
      <w:r>
        <w:t>Constat 2 : La dette envers les familles des policiers décédés augmente chaque année</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Les allocations décès dues et non payées passent de 370 503 332 FCFA fin 2021 à 489 419 669 FCFA au 31/08/2026. Chaque année, le FPPN inscrit plus d'allocations qu'il n'en paie. La date de dépôt de chaque demande n'est pas enregistrée.</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Ces sommes sont dues aux familles. Un dossier ancien non payé est une famille qui attend. Sans date de dépôt, le FPPN ne peut pas savoir quels dossiers sont encore valables (délai de 3 ans pour un membre et de 12 mois pour un ayant droit, règlement intérieur, art. 58 et 60).</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Le FPPN calcule bien sa dette décès chaque fin d'année, dossier par dossier, et l'inscrit en comptabilité au franc près en 2024 et 2025 : c'est une bonne pratique. Mais le stock grossit, ce qui montre des dossiers qui traînent depuis plusieurs années.</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Une partie des familles de policiers décédés attend encore son allocation.</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Dresser la liste nominative des dossiers non payés, avec la date de dépôt et le motif du retard.</w:t>
              <w:br/>
              <w:t>• Payer les dossiers dus et clôturer ceux qui sont prescrits, sur décision écrite.</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Moyenne</w:t>
            </w:r>
            <w:r>
              <w:rPr>
                <w:rFonts w:ascii="Helvetica" w:hAnsi="Helvetica" w:cs="Helvetica" w:eastAsia="Helvetica"/>
                <w:sz w:val="19"/>
              </w:rPr>
              <w:t xml:space="preserve">.   Priorité : </w:t>
            </w:r>
            <w:r>
              <w:rPr>
                <w:rFonts w:ascii="Helvetica" w:hAnsi="Helvetica" w:cs="Helvetica" w:eastAsia="Helvetica"/>
                <w:color w:val="ED7D31"/>
                <w:sz w:val="19"/>
              </w:rPr>
              <w:t xml:space="preserve">●</w:t>
            </w:r>
            <w:r>
              <w:rPr>
                <w:rFonts w:ascii="Helvetica" w:hAnsi="Helvetica" w:cs="Helvetica" w:eastAsia="Helvetica"/>
                <w:sz w:val="19"/>
              </w:rPr>
              <w:t xml:space="preserve"> </w:t>
            </w:r>
            <w:r>
              <w:rPr>
                <w:rFonts w:ascii="Helvetica" w:hAnsi="Helvetica" w:cs="Helvetica" w:eastAsia="Helvetica"/>
                <w:b/>
                <w:sz w:val="19"/>
              </w:rPr>
              <w:t>P2</w:t>
            </w:r>
            <w:r>
              <w:rPr>
                <w:rFonts w:ascii="Helvetica" w:hAnsi="Helvetica" w:cs="Helvetica" w:eastAsia="Helvetica"/>
                <w:sz w:val="19"/>
              </w:rPr>
              <w:t>.   Responsable : Service des prestations, service comptable.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125 et 126.</w:t>
            </w:r>
          </w:p>
        </w:tc>
      </w:tr>
    </w:tbl>
    <w:p/>
    <w:p>
      <w:pPr>
        <w:pStyle w:val="Heading3"/>
      </w:pPr>
      <w:r>
        <w:t>Constat 3 : Des allocations décès sont payées avec l'argent de l'épargne</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En 2024, 102 allocations décès ont été payées depuis les comptes bancaires de l'épargne : 93 paiements pour 49 000 000 FCFA depuis le compte PEP et 9 paiements pour 4 288 000 FCFA depuis le compte EFC, soit 53 288 000 FCFA.</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L'épargne appartient aux policiers épargnants. Elle ne doit servir qu'à leur rembourser leur épargne. La réglementation impose de séparer l'argent de l'épargne de celui des autres garanties (règlement d'exécution n° 004/2022, art. 15).</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Le montant est faible, mais le principe est important : mélanger les comptes empêche de savoir ce qui reste réellement aux épargnants.</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Votre épargne doit rester sur des comptes qui ne servent qu'à elle.</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Payer les prestations uniquement depuis les comptes des garanties maladie et décès.</w:t>
              <w:br/>
              <w:t>• Rembourser aux comptes de l'épargne les sommes utilisées.</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Faible</w:t>
            </w:r>
            <w:r>
              <w:rPr>
                <w:rFonts w:ascii="Helvetica" w:hAnsi="Helvetica" w:cs="Helvetica" w:eastAsia="Helvetica"/>
                <w:sz w:val="19"/>
              </w:rPr>
              <w:t xml:space="preserve">.   Priorité : </w:t>
            </w:r>
            <w:r>
              <w:rPr>
                <w:rFonts w:ascii="Helvetica" w:hAnsi="Helvetica" w:cs="Helvetica" w:eastAsia="Helvetica"/>
                <w:color w:val="ED7D31"/>
                <w:sz w:val="19"/>
              </w:rPr>
              <w:t xml:space="preserve">●</w:t>
            </w:r>
            <w:r>
              <w:rPr>
                <w:rFonts w:ascii="Helvetica" w:hAnsi="Helvetica" w:cs="Helvetica" w:eastAsia="Helvetica"/>
                <w:sz w:val="19"/>
              </w:rPr>
              <w:t xml:space="preserve"> </w:t>
            </w:r>
            <w:r>
              <w:rPr>
                <w:rFonts w:ascii="Helvetica" w:hAnsi="Helvetica" w:cs="Helvetica" w:eastAsia="Helvetica"/>
                <w:b/>
                <w:sz w:val="19"/>
              </w:rPr>
              <w:t>P2</w:t>
            </w:r>
            <w:r>
              <w:rPr>
                <w:rFonts w:ascii="Helvetica" w:hAnsi="Helvetica" w:cs="Helvetica" w:eastAsia="Helvetica"/>
                <w:sz w:val="19"/>
              </w:rPr>
              <w:t>.   Responsable : Direction générale, service comptable.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126.</w:t>
            </w:r>
          </w:p>
        </w:tc>
      </w:tr>
    </w:tbl>
    <w:p/>
    <w:p>
      <w:pPr>
        <w:pStyle w:val="Heading3"/>
      </w:pPr>
      <w:r>
        <w:t>Constat 4 : Les pertes probables sur les prêts du Grenier ne sont pas comptées</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Au 31/08/2026, 143 prêts ont plus de 3 mois de retard. La politique de crédit du Grenier impose de compter une perte de 40 %, 80 % ou 100 % selon l'ancienneté du retard, soit 14 016 392 FCFA. Aucune perte n'est comptée depuis 2022.</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Un prêt en retard depuis longtemps risque de ne jamais être remboursé. Ne pas le compter fait paraître les comptes meilleurs qu'ils ne sont.</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Le montant reste faible au regard de l'encours (environ 1 milliard de FCFA). Le vrai risque du Grenier n'est pas la perte sur les prêts, mais l'épargne qu'il immobilise (constat 25).</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Les prêts non remboursés finissent par coûter à tous les adhérents.</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Comptabiliser chaque année la dépréciation des prêts en retard, selon la politique de crédit du Grenier.</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Faible</w:t>
            </w:r>
            <w:r>
              <w:rPr>
                <w:rFonts w:ascii="Helvetica" w:hAnsi="Helvetica" w:cs="Helvetica" w:eastAsia="Helvetica"/>
                <w:sz w:val="19"/>
              </w:rPr>
              <w:t xml:space="preserve">.   Priorité : </w:t>
            </w:r>
            <w:r>
              <w:rPr>
                <w:rFonts w:ascii="Helvetica" w:hAnsi="Helvetica" w:cs="Helvetica" w:eastAsia="Helvetica"/>
                <w:color w:val="FFC000"/>
                <w:sz w:val="19"/>
              </w:rPr>
              <w:t xml:space="preserve">●</w:t>
            </w:r>
            <w:r>
              <w:rPr>
                <w:rFonts w:ascii="Helvetica" w:hAnsi="Helvetica" w:cs="Helvetica" w:eastAsia="Helvetica"/>
                <w:sz w:val="19"/>
              </w:rPr>
              <w:t xml:space="preserve"> </w:t>
            </w:r>
            <w:r>
              <w:rPr>
                <w:rFonts w:ascii="Helvetica" w:hAnsi="Helvetica" w:cs="Helvetica" w:eastAsia="Helvetica"/>
                <w:b/>
                <w:sz w:val="19"/>
              </w:rPr>
              <w:t>P3</w:t>
            </w:r>
            <w:r>
              <w:rPr>
                <w:rFonts w:ascii="Helvetica" w:hAnsi="Helvetica" w:cs="Helvetica" w:eastAsia="Helvetica"/>
                <w:sz w:val="19"/>
              </w:rPr>
              <w:t>.   Responsable : Grenier, service comptable.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129. Risque R7 de la cartographie.</w:t>
            </w:r>
          </w:p>
        </w:tc>
      </w:tr>
    </w:tbl>
    <w:p/>
    <w:p>
      <w:pPr>
        <w:pStyle w:val="Heading3"/>
      </w:pPr>
      <w:r>
        <w:t>Constat 5 : La provision pour le départ à la retraite du personnel est suffisante</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Le FPPN a mis de côté 43 666 678 FCFA au 31/12/2025 pour les indemnités de départ à la retraite de ses salariés. Le recalcul agent par agent donne 24 446 566 FCFA.</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Le FPPN devra payer une indemnité à chaque salarié qui part à la retraite.</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C'est le seul poste où le montant du FPPN couvre largement le besoin. Le FPPN calcule ce montant comme si tous les salariés partaient aujourd'hui, ce qui est prudent. Seule la méthode n'est pas écrite.</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Ce poste ne présente pas de risque pour les adhérents.</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Rédiger une note de calcul annuelle de cette provision (méthode, liste des salariés).</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Faible</w:t>
            </w:r>
            <w:r>
              <w:rPr>
                <w:rFonts w:ascii="Helvetica" w:hAnsi="Helvetica" w:cs="Helvetica" w:eastAsia="Helvetica"/>
                <w:sz w:val="19"/>
              </w:rPr>
              <w:t xml:space="preserve">.   Priorité : </w:t>
            </w:r>
            <w:r>
              <w:rPr>
                <w:rFonts w:ascii="Helvetica" w:hAnsi="Helvetica" w:cs="Helvetica" w:eastAsia="Helvetica"/>
                <w:color w:val="70AD47"/>
                <w:sz w:val="19"/>
              </w:rPr>
              <w:t xml:space="preserve">●</w:t>
            </w:r>
            <w:r>
              <w:rPr>
                <w:rFonts w:ascii="Helvetica" w:hAnsi="Helvetica" w:cs="Helvetica" w:eastAsia="Helvetica"/>
                <w:sz w:val="19"/>
              </w:rPr>
              <w:t xml:space="preserve"> </w:t>
            </w:r>
            <w:r>
              <w:rPr>
                <w:rFonts w:ascii="Helvetica" w:hAnsi="Helvetica" w:cs="Helvetica" w:eastAsia="Helvetica"/>
                <w:b/>
                <w:sz w:val="19"/>
              </w:rPr>
              <w:t>P4</w:t>
            </w:r>
            <w:r>
              <w:rPr>
                <w:rFonts w:ascii="Helvetica" w:hAnsi="Helvetica" w:cs="Helvetica" w:eastAsia="Helvetica"/>
                <w:sz w:val="19"/>
              </w:rPr>
              <w:t>.   Responsable : Service comptable.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133.</w:t>
            </w:r>
          </w:p>
        </w:tc>
      </w:tr>
    </w:tbl>
    <w:p/>
    <w:p>
      <w:pPr>
        <w:pStyle w:val="Heading2"/>
      </w:pPr>
      <w:r>
        <w:t>3.2. ÉPARGNE DES POLICIERS (EFC ET PEP)</w:t>
      </w:r>
    </w:p>
    <w:p>
      <w:pPr>
        <w:pStyle w:val="Heading3"/>
      </w:pPr>
      <w:r>
        <w:t>Constat 6 : Les intérêts promis aux épargnants ne sont pas comptabilisés</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Aucun intérêt n'a été inscrit sur l'épargne du 01/01/2020 au 31/08/2026. Aux taux du manuel d'épargne (3,50 % pour le PEP et 5,50 % pour l'EFC), les intérêts dus atteignent environ 3,3 milliards de FCFA (3 278 913 238 FCFA). L'épargne réellement due passe ainsi d'environ 15,7 milliards de FCFA (15 743 516 391 FCFA) à environ 19 milliards de FCFA (19 022 429 629 FCFA).</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C'est la plus grosse dette du FPPN : l'épargne et ses intérêts représentent 97,46 % de ce que le FPPN doit à ses adhérents.</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Le calcul retient le montant le plus bas possible : intérêts simples, sans intérêts sur les intérêts, et sans les intérêts antérieurs à 2020. La vraie dette est donc au moins de ce niveau. Même au taux le plus bas (3,50 %), les intérêts d'une seule année sur l'EFC (309 709 577 FCFA en 2025) dépassent ce que rapportent tous les placements du FPPN dans l'année.</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Les intérêts de votre épargne existent sur le papier, mais le FPPN ne les a pas encore enregistrés. Votre épargne vaut plus que ce que montrent les comptes.</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Calculer et comptabiliser chaque année les intérêts dus, épargnant par épargnant, dès que le taux est arrêté (constat 7).</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Moyenne</w:t>
            </w:r>
            <w:r>
              <w:rPr>
                <w:rFonts w:ascii="Helvetica" w:hAnsi="Helvetica" w:cs="Helvetica" w:eastAsia="Helvetica"/>
                <w:sz w:val="19"/>
              </w:rPr>
              <w:t xml:space="preserve">.   Priorité : </w:t>
            </w:r>
            <w:r>
              <w:rPr>
                <w:rFonts w:ascii="Helvetica" w:hAnsi="Helvetica" w:cs="Helvetica" w:eastAsia="Helvetica"/>
                <w:color w:val="C00000"/>
                <w:sz w:val="19"/>
              </w:rPr>
              <w:t xml:space="preserve">●</w:t>
            </w:r>
            <w:r>
              <w:rPr>
                <w:rFonts w:ascii="Helvetica" w:hAnsi="Helvetica" w:cs="Helvetica" w:eastAsia="Helvetica"/>
                <w:sz w:val="19"/>
              </w:rPr>
              <w:t xml:space="preserve"> </w:t>
            </w:r>
            <w:r>
              <w:rPr>
                <w:rFonts w:ascii="Helvetica" w:hAnsi="Helvetica" w:cs="Helvetica" w:eastAsia="Helvetica"/>
                <w:b/>
                <w:sz w:val="19"/>
              </w:rPr>
              <w:t>P1</w:t>
            </w:r>
            <w:r>
              <w:rPr>
                <w:rFonts w:ascii="Helvetica" w:hAnsi="Helvetica" w:cs="Helvetica" w:eastAsia="Helvetica"/>
                <w:sz w:val="19"/>
              </w:rPr>
              <w:t>.   Responsable : Service comptable, Conseil d'administration.</w:t>
            </w:r>
          </w:p>
        </w:tc>
      </w:tr>
      <w:tr>
        <w:tc>
          <w:tcPr>
            <w:tcW w:type="dxa" w:w="2494"/>
            <w:shd w:val="clear" w:color="auto" w:fill="F2F2F2"/>
          </w:tcPr>
          <w:p>
            <w:pPr>
              <w:spacing w:after="40" w:before="40" w:line="252" w:lineRule="auto"/>
            </w:pPr>
            <w:r>
              <w:rPr>
                <w:rFonts w:ascii="Helvetica" w:hAnsi="Helvetica" w:cs="Helvetica" w:eastAsia="Helvetica"/>
                <w:b/>
                <w:sz w:val="19"/>
              </w:rPr>
              <w:t>À confirmer</w:t>
            </w:r>
          </w:p>
        </w:tc>
        <w:tc>
          <w:tcPr>
            <w:tcW w:type="dxa" w:w="7937"/>
          </w:tcPr>
          <w:p>
            <w:pPr>
              <w:spacing w:after="40" w:before="40" w:line="252" w:lineRule="auto"/>
            </w:pPr>
            <w:r>
              <w:rPr>
                <w:rFonts w:ascii="Helvetica" w:hAnsi="Helvetica" w:cs="Helvetica" w:eastAsia="Helvetica"/>
                <w:sz w:val="19"/>
              </w:rPr>
              <w:t>Le montant exact dépend du taux qui sera arrêté : il serait de 2 541 799 542 FCFA si l'EFC était servie à 3,50 %.</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5, 97 et 98. Risque R3 de la cartographie.</w:t>
            </w:r>
          </w:p>
        </w:tc>
      </w:tr>
    </w:tbl>
    <w:p/>
    <w:p>
      <w:pPr>
        <w:pStyle w:val="Heading3"/>
      </w:pPr>
      <w:r>
        <w:t>Constat 7 : Aucun taux d'intérêt de l'épargne n'est officiellement fixé</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Trois taux différents figurent dans trois documents pour l'EFC : 3,50 %, 5,50 % et 14 %. Aucun n'est fixé par une décision signée du conseil d'administration.</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Sans taux officiel, ni le FPPN ni l'épargnant ne peuvent savoir combien vaut l'épargne. Un épargnant peut contester le montant reçu à son départ.</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Le taux doit être réaliste : les placements du FPPN ont rapporté 4,90 % par an en moyenne de 2021 à 2025. Promettre plus que ce que rapporte l'argent crée une perte chaque année, que les cotisations maladie et décès finissent par payer.</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Le taux qui rémunère votre épargne doit être fixé clairement, par écrit, et être le même pour tous.</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Faire adopter par le conseil d'administration une délibération fixant le taux servi sur le PEP et l'EFC, cohérent avec le rendement des placements.</w:t>
              <w:br/>
              <w:t>• Communiquer ce taux à tous les épargnants.</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Faible</w:t>
            </w:r>
            <w:r>
              <w:rPr>
                <w:rFonts w:ascii="Helvetica" w:hAnsi="Helvetica" w:cs="Helvetica" w:eastAsia="Helvetica"/>
                <w:sz w:val="19"/>
              </w:rPr>
              <w:t xml:space="preserve">.   Priorité : </w:t>
            </w:r>
            <w:r>
              <w:rPr>
                <w:rFonts w:ascii="Helvetica" w:hAnsi="Helvetica" w:cs="Helvetica" w:eastAsia="Helvetica"/>
                <w:color w:val="C00000"/>
                <w:sz w:val="19"/>
              </w:rPr>
              <w:t xml:space="preserve">●</w:t>
            </w:r>
            <w:r>
              <w:rPr>
                <w:rFonts w:ascii="Helvetica" w:hAnsi="Helvetica" w:cs="Helvetica" w:eastAsia="Helvetica"/>
                <w:sz w:val="19"/>
              </w:rPr>
              <w:t xml:space="preserve"> </w:t>
            </w:r>
            <w:r>
              <w:rPr>
                <w:rFonts w:ascii="Helvetica" w:hAnsi="Helvetica" w:cs="Helvetica" w:eastAsia="Helvetica"/>
                <w:b/>
                <w:sz w:val="19"/>
              </w:rPr>
              <w:t>P1</w:t>
            </w:r>
            <w:r>
              <w:rPr>
                <w:rFonts w:ascii="Helvetica" w:hAnsi="Helvetica" w:cs="Helvetica" w:eastAsia="Helvetica"/>
                <w:sz w:val="19"/>
              </w:rPr>
              <w:t>.   Responsable : Conseil d'administration.</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95. Risque R3 de la cartographie.</w:t>
            </w:r>
          </w:p>
        </w:tc>
      </w:tr>
    </w:tbl>
    <w:p/>
    <w:p>
      <w:pPr>
        <w:pStyle w:val="Heading3"/>
      </w:pPr>
      <w:r>
        <w:t>Constat 8 : Le FPPN ne tient pas de compte individuel pour chaque épargnant</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Aucun relevé individuel d'épargne n'a été transmis : pas de solde d'ouverture, de versements, d'intérêts, de retraits et de solde de clôture par épargnant.</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Chaque policier doit pouvoir savoir à tout moment combien il a épargné et ce qu'il recevra.</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Sans comptes individuels, l'épargne n'est connue qu'en total. Le FPPN ne peut ni vérifier le total, ni répondre à un épargnant qui demande son solde, ni prévoir quand l'argent sortira.</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Vous devriez recevoir chaque année un relevé de votre épargne.</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Mettre en place un compte individuel pour chaque épargnant dans le logiciel.</w:t>
              <w:br/>
              <w:t>• Envoyer un relevé annuel à chaque épargnant.</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Élevée</w:t>
            </w:r>
            <w:r>
              <w:rPr>
                <w:rFonts w:ascii="Helvetica" w:hAnsi="Helvetica" w:cs="Helvetica" w:eastAsia="Helvetica"/>
                <w:sz w:val="19"/>
              </w:rPr>
              <w:t xml:space="preserve">.   Priorité : </w:t>
            </w:r>
            <w:r>
              <w:rPr>
                <w:rFonts w:ascii="Helvetica" w:hAnsi="Helvetica" w:cs="Helvetica" w:eastAsia="Helvetica"/>
                <w:color w:val="ED7D31"/>
                <w:sz w:val="19"/>
              </w:rPr>
              <w:t xml:space="preserve">●</w:t>
            </w:r>
            <w:r>
              <w:rPr>
                <w:rFonts w:ascii="Helvetica" w:hAnsi="Helvetica" w:cs="Helvetica" w:eastAsia="Helvetica"/>
                <w:sz w:val="19"/>
              </w:rPr>
              <w:t xml:space="preserve"> </w:t>
            </w:r>
            <w:r>
              <w:rPr>
                <w:rFonts w:ascii="Helvetica" w:hAnsi="Helvetica" w:cs="Helvetica" w:eastAsia="Helvetica"/>
                <w:b/>
                <w:sz w:val="19"/>
              </w:rPr>
              <w:t>P2</w:t>
            </w:r>
            <w:r>
              <w:rPr>
                <w:rFonts w:ascii="Helvetica" w:hAnsi="Helvetica" w:cs="Helvetica" w:eastAsia="Helvetica"/>
                <w:sz w:val="19"/>
              </w:rPr>
              <w:t>.   Responsable : Direction générale, service informatique.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5 et 143. Risque R9 de la cartographie.</w:t>
            </w:r>
          </w:p>
        </w:tc>
      </w:tr>
    </w:tbl>
    <w:p/>
    <w:p>
      <w:pPr>
        <w:pStyle w:val="Heading3"/>
      </w:pPr>
      <w:r>
        <w:t>Constat 9 : Le rapport de gestion 2025 sous-estime l'épargne due</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Le rapport de gestion 2025 présente environ 4,4 milliards de FCFA (4 387 823 635 FCFA) comme « le montant des épargnes au 31/12/2025 ». C'est en réalité ce qui a été collecté dans l'année. L'épargne due à cette date est d'environ 13,8 milliards de FCFA (13 814 066 964 FCFA).</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L'Assemblée générale prend ses décisions sur la base de ce rapport.</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L'erreur porte sur la présentation, pas sur la comptabilité : la balance donne le bon montant. Mais l'Assemblée générale a reçu une information qui minore de plus des deux tiers la dette envers les épargnants.</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Les chiffres présentés en Assemblée générale doivent montrer tout ce que le FPPN vous doit.</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Présenter dans le rapport de gestion le solde de l'épargne due, distinct de la collecte de l'année.</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Faible</w:t>
            </w:r>
            <w:r>
              <w:rPr>
                <w:rFonts w:ascii="Helvetica" w:hAnsi="Helvetica" w:cs="Helvetica" w:eastAsia="Helvetica"/>
                <w:sz w:val="19"/>
              </w:rPr>
              <w:t xml:space="preserve">.   Priorité : </w:t>
            </w:r>
            <w:r>
              <w:rPr>
                <w:rFonts w:ascii="Helvetica" w:hAnsi="Helvetica" w:cs="Helvetica" w:eastAsia="Helvetica"/>
                <w:color w:val="ED7D31"/>
                <w:sz w:val="19"/>
              </w:rPr>
              <w:t xml:space="preserve">●</w:t>
            </w:r>
            <w:r>
              <w:rPr>
                <w:rFonts w:ascii="Helvetica" w:hAnsi="Helvetica" w:cs="Helvetica" w:eastAsia="Helvetica"/>
                <w:sz w:val="19"/>
              </w:rPr>
              <w:t xml:space="preserve"> </w:t>
            </w:r>
            <w:r>
              <w:rPr>
                <w:rFonts w:ascii="Helvetica" w:hAnsi="Helvetica" w:cs="Helvetica" w:eastAsia="Helvetica"/>
                <w:b/>
                <w:sz w:val="19"/>
              </w:rPr>
              <w:t>P2</w:t>
            </w:r>
            <w:r>
              <w:rPr>
                <w:rFonts w:ascii="Helvetica" w:hAnsi="Helvetica" w:cs="Helvetica" w:eastAsia="Helvetica"/>
                <w:sz w:val="19"/>
              </w:rPr>
              <w:t>.   Responsable : Direction générale.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99.</w:t>
            </w:r>
          </w:p>
        </w:tc>
      </w:tr>
    </w:tbl>
    <w:p/>
    <w:p>
      <w:pPr>
        <w:pStyle w:val="Heading3"/>
      </w:pPr>
      <w:r>
        <w:t>Constat 10 : L'argent de l'épargne n'est pas séparé du reste</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Au 31/08/2026, seulement 16,28 % de l'épargne due est couverte par des comptes bancaires, des dépôts et des placements qui lui sont réservés, soit 2 562 885 661 FCFA sur 15 743 516 391 FCFA.</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La réglementation impose de séparer l'épargne (risque long) des garanties maladie et décès (risques courts) (règlement d'exécution n° 004/2022, art. 15).</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L'épargne augmente de 45,39 % depuis 2020, et l'épargne EFC a triplé. Les sommes réservées n'ont pas suivi : le reste de l'épargne a servi à financer la clinique, les terrains, la créance sur l'Hôpital de la Police et les prêts du Grenier.</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Sur 100 FCFA que vous avez épargnés, environ 16 FCFA sont aujourd'hui gardés à part pour vous les rendre.</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Ouvrir des comptes réservés à l'épargne et y verser chaque mois l'épargne collectée.</w:t>
              <w:br/>
              <w:t>• Fixer, dans le plan de redressement, un objectif de couverture de l'épargne par des actifs réservés.</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Moyenne</w:t>
            </w:r>
            <w:r>
              <w:rPr>
                <w:rFonts w:ascii="Helvetica" w:hAnsi="Helvetica" w:cs="Helvetica" w:eastAsia="Helvetica"/>
                <w:sz w:val="19"/>
              </w:rPr>
              <w:t xml:space="preserve">.   Priorité : </w:t>
            </w:r>
            <w:r>
              <w:rPr>
                <w:rFonts w:ascii="Helvetica" w:hAnsi="Helvetica" w:cs="Helvetica" w:eastAsia="Helvetica"/>
                <w:color w:val="ED7D31"/>
                <w:sz w:val="19"/>
              </w:rPr>
              <w:t xml:space="preserve">●</w:t>
            </w:r>
            <w:r>
              <w:rPr>
                <w:rFonts w:ascii="Helvetica" w:hAnsi="Helvetica" w:cs="Helvetica" w:eastAsia="Helvetica"/>
                <w:sz w:val="19"/>
              </w:rPr>
              <w:t xml:space="preserve"> </w:t>
            </w:r>
            <w:r>
              <w:rPr>
                <w:rFonts w:ascii="Helvetica" w:hAnsi="Helvetica" w:cs="Helvetica" w:eastAsia="Helvetica"/>
                <w:b/>
                <w:sz w:val="19"/>
              </w:rPr>
              <w:t>P2</w:t>
            </w:r>
            <w:r>
              <w:rPr>
                <w:rFonts w:ascii="Helvetica" w:hAnsi="Helvetica" w:cs="Helvetica" w:eastAsia="Helvetica"/>
                <w:sz w:val="19"/>
              </w:rPr>
              <w:t>.   Responsable : Direction générale, Conseil d'administration.</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90. Risque R1 de la cartographie.</w:t>
            </w:r>
          </w:p>
        </w:tc>
      </w:tr>
    </w:tbl>
    <w:p/>
    <w:p>
      <w:pPr>
        <w:pStyle w:val="Heading2"/>
      </w:pPr>
      <w:r>
        <w:t>3.3. LIQUIDITÉ : L'ARGENT SERA-T-IL DISPONIBLE À TEMPS ?</w:t>
      </w:r>
    </w:p>
    <w:p>
      <w:pPr>
        <w:pStyle w:val="Heading3"/>
      </w:pPr>
      <w:r>
        <w:t>Constat 11 : Le FPPN ne peut pas couvrir dans l'année tout ce qu'il devra payer</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Au 31/08/2026, l'argent disponible en moins d'un an vaut environ 3,5 milliards de FCFA (3 457 866 951 FCFA). Ce que le FPPN devra payer dans l'année, sorties d'épargne comprises, vaut environ 10 milliards de FCFA (10 046 113 184 FCFA). Il couvre donc 34,42 % des paiements de l'année. Sur cinq ans, le manque cumulé atteint environ 12,6 milliards de FCFA (12 596 052 822 FCFA).</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Chaque année, environ un cinquième de l'épargne sort (19,24 % en moyenne de 2021 à 2025, jusqu'à 27,55 % en 2023), surtout au moment des départs à la retraite.</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Ce calcul est favorable au FPPN : il compte les biens à leur valeur comptable et ne prend pas en compte les intérêts dus. Le manque réel est donc au moins de ce niveau. En pratique, le FPPN paie les sorties grâce aux nouvelles cotisations : il dépend de la poursuite des versements des policiers en activité.</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Si beaucoup de policiers demandent leur épargne en même temps, le FPPN ne peut pas tous les payer à temps.</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Constituer une réserve de trésorerie au moins égale aux sorties d'épargne d'une année au taux le plus élevé observé.</w:t>
              <w:br/>
              <w:t>• Établir l'échéancier des sorties de l'épargne (départs à la retraite).</w:t>
              <w:br/>
              <w:t>• Arrêter de financer des biens durables avec l'épargne.</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Élevée</w:t>
            </w:r>
            <w:r>
              <w:rPr>
                <w:rFonts w:ascii="Helvetica" w:hAnsi="Helvetica" w:cs="Helvetica" w:eastAsia="Helvetica"/>
                <w:sz w:val="19"/>
              </w:rPr>
              <w:t xml:space="preserve">.   Priorité : </w:t>
            </w:r>
            <w:r>
              <w:rPr>
                <w:rFonts w:ascii="Helvetica" w:hAnsi="Helvetica" w:cs="Helvetica" w:eastAsia="Helvetica"/>
                <w:color w:val="C00000"/>
                <w:sz w:val="19"/>
              </w:rPr>
              <w:t xml:space="preserve">●</w:t>
            </w:r>
            <w:r>
              <w:rPr>
                <w:rFonts w:ascii="Helvetica" w:hAnsi="Helvetica" w:cs="Helvetica" w:eastAsia="Helvetica"/>
                <w:sz w:val="19"/>
              </w:rPr>
              <w:t xml:space="preserve"> </w:t>
            </w:r>
            <w:r>
              <w:rPr>
                <w:rFonts w:ascii="Helvetica" w:hAnsi="Helvetica" w:cs="Helvetica" w:eastAsia="Helvetica"/>
                <w:b/>
                <w:sz w:val="19"/>
              </w:rPr>
              <w:t>P1</w:t>
            </w:r>
            <w:r>
              <w:rPr>
                <w:rFonts w:ascii="Helvetica" w:hAnsi="Helvetica" w:cs="Helvetica" w:eastAsia="Helvetica"/>
                <w:sz w:val="19"/>
              </w:rPr>
              <w:t>.   Responsable : Conseil d'administration, Direction générale.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7, 149 et 154 à 156. Risque R1 de la cartographie.</w:t>
            </w:r>
          </w:p>
        </w:tc>
      </w:tr>
    </w:tbl>
    <w:p/>
    <w:p>
      <w:pPr>
        <w:pStyle w:val="Heading3"/>
      </w:pPr>
      <w:r>
        <w:t>Constat 12 : L'essentiel des biens du FPPN ne peut pas être vendu rapidement</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Plus des trois quarts des biens du FPPN (17 170 238 905 FCFA sur 21 925 420 866 FCFA) sont à plus de cinq ans ou à délai incertain. La clinique (7 083 534 565 FCFA), les terrains (5 245 896 750 FCFA) et la créance sur l'Hôpital de la Police (3 407 519 850 FCFA, inchangée depuis 2020) n'ont pas été évalués récemment.</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Un bien ne protège les adhérents que si on connaît sa vraie valeur et qu'on peut le transformer en argent.</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Sur le papier, les biens couvrent 96,33 % des dettes connues. Sans les biens dont la valeur n'est pas établie, la couverture tombe à 27,19 %. La créance sur l'hôpital n'a reçu aucun remboursement depuis 2020.</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Les biens du FPPN sont surtout des bâtiments et des terrains : ils ne peuvent pas servir vite à vous payer.</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Faire évaluer la clinique et les terrains par un expert.</w:t>
              <w:br/>
              <w:t>• Obtenir de l'État un accord écrit sur le remboursement de la créance sur l'Hôpital de la Police.</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Élevée</w:t>
            </w:r>
            <w:r>
              <w:rPr>
                <w:rFonts w:ascii="Helvetica" w:hAnsi="Helvetica" w:cs="Helvetica" w:eastAsia="Helvetica"/>
                <w:sz w:val="19"/>
              </w:rPr>
              <w:t xml:space="preserve">.   Priorité : </w:t>
            </w:r>
            <w:r>
              <w:rPr>
                <w:rFonts w:ascii="Helvetica" w:hAnsi="Helvetica" w:cs="Helvetica" w:eastAsia="Helvetica"/>
                <w:color w:val="ED7D31"/>
                <w:sz w:val="19"/>
              </w:rPr>
              <w:t xml:space="preserve">●</w:t>
            </w:r>
            <w:r>
              <w:rPr>
                <w:rFonts w:ascii="Helvetica" w:hAnsi="Helvetica" w:cs="Helvetica" w:eastAsia="Helvetica"/>
                <w:sz w:val="19"/>
              </w:rPr>
              <w:t xml:space="preserve"> </w:t>
            </w:r>
            <w:r>
              <w:rPr>
                <w:rFonts w:ascii="Helvetica" w:hAnsi="Helvetica" w:cs="Helvetica" w:eastAsia="Helvetica"/>
                <w:b/>
                <w:sz w:val="19"/>
              </w:rPr>
              <w:t>P2</w:t>
            </w:r>
            <w:r>
              <w:rPr>
                <w:rFonts w:ascii="Helvetica" w:hAnsi="Helvetica" w:cs="Helvetica" w:eastAsia="Helvetica"/>
                <w:sz w:val="19"/>
              </w:rPr>
              <w:t>.   Responsable : Direction générale, Conseil d'administration.</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148 à 152. Risque R1 de la cartographie.</w:t>
            </w:r>
          </w:p>
        </w:tc>
      </w:tr>
    </w:tbl>
    <w:p/>
    <w:p>
      <w:pPr>
        <w:pStyle w:val="Heading3"/>
      </w:pPr>
      <w:r>
        <w:t>Constat 13 : Une partie de la trésorerie dort sans rapporter</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Au 31/08/2026, 2 356 399 123 FCFA restent sur des comptes courants qui ne rapportent rien.</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La réglementation demande aux mutuelles qui gèrent de l'épargne de limiter ces soldes non rémunérés.</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Une partie de cet argent peut être placée à court terme sans perdre sa disponibilité, ce qui aiderait à payer les intérêts de l'épargne.</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Une partie de l'argent peut travailler pour vous sans être bloquée.</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Placer à court terme la part de trésorerie qui n'est pas nécessaire aux paiements du mois.</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Faible</w:t>
            </w:r>
            <w:r>
              <w:rPr>
                <w:rFonts w:ascii="Helvetica" w:hAnsi="Helvetica" w:cs="Helvetica" w:eastAsia="Helvetica"/>
                <w:sz w:val="19"/>
              </w:rPr>
              <w:t xml:space="preserve">.   Priorité : </w:t>
            </w:r>
            <w:r>
              <w:rPr>
                <w:rFonts w:ascii="Helvetica" w:hAnsi="Helvetica" w:cs="Helvetica" w:eastAsia="Helvetica"/>
                <w:color w:val="FFC000"/>
                <w:sz w:val="19"/>
              </w:rPr>
              <w:t xml:space="preserve">●</w:t>
            </w:r>
            <w:r>
              <w:rPr>
                <w:rFonts w:ascii="Helvetica" w:hAnsi="Helvetica" w:cs="Helvetica" w:eastAsia="Helvetica"/>
                <w:sz w:val="19"/>
              </w:rPr>
              <w:t xml:space="preserve"> </w:t>
            </w:r>
            <w:r>
              <w:rPr>
                <w:rFonts w:ascii="Helvetica" w:hAnsi="Helvetica" w:cs="Helvetica" w:eastAsia="Helvetica"/>
                <w:b/>
                <w:sz w:val="19"/>
              </w:rPr>
              <w:t>P3</w:t>
            </w:r>
            <w:r>
              <w:rPr>
                <w:rFonts w:ascii="Helvetica" w:hAnsi="Helvetica" w:cs="Helvetica" w:eastAsia="Helvetica"/>
                <w:sz w:val="19"/>
              </w:rPr>
              <w:t>.   Responsable : Direction générale.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165.</w:t>
            </w:r>
          </w:p>
        </w:tc>
      </w:tr>
    </w:tbl>
    <w:p/>
    <w:p>
      <w:pPr>
        <w:pStyle w:val="Heading2"/>
      </w:pPr>
      <w:r>
        <w:t>3.4. CONFORMITÉ AUX RÈGLES ET SOLIDITÉ FINANCIÈRE</w:t>
      </w:r>
    </w:p>
    <w:p>
      <w:pPr>
        <w:pStyle w:val="Heading3"/>
      </w:pPr>
      <w:r>
        <w:t>Constat 14 : Le FPPN ne respecte pas plusieurs règles de solidité financière</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Sur les 36 indicateurs fixés par la réglementation (Décision n° 05/2022), 14 ne sont pas respectés de 2022 à 2025, 7 sont respectés et 15 n'ont pas pu être vérifiés faute de documents. En 2025, la réserve obligatoire couvre 5,01 mois de prestations pour un minimum de 6 mois, la liquidité vaut 0,13 et les fonds propres 0,22, pour un minimum de 1.</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Si un indicateur n'est pas respecté deux années de suite, l'AIRMS peut retirer l'agrément du FPPN (règlement n° 07/2009, art. 84). Ce n'est pas automatique.</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Deux points méritent d'être nuancés. D'abord, la liquidité dépend du classement de l'épargne : classée comme le prévoit le plan comptable des mutuelles, elle devient conforme en 2025 (1,15). Ensuite, le taux d'excédent dépasse le plafond de 5 % de 2020 à 2025 alors que les fonds propres sont négatifs : ces excédents servent à combler les pertes passées. Le vrai problème reste l'épargne et la liquidité, pas un seul ratio.</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C'est l'enjeu principal : la continuité du FPPN dépend du respect de ces règles.</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Présenter à l'AIRMS un plan de mise en conformité avec des objectifs chiffrés par indicateur sur trois exercices, validé par le conseil d'administration.</w:t>
              <w:br/>
              <w:t>• Suivre les indicateurs tous les six mois.</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Élevée</w:t>
            </w:r>
            <w:r>
              <w:rPr>
                <w:rFonts w:ascii="Helvetica" w:hAnsi="Helvetica" w:cs="Helvetica" w:eastAsia="Helvetica"/>
                <w:sz w:val="19"/>
              </w:rPr>
              <w:t xml:space="preserve">.   Priorité : </w:t>
            </w:r>
            <w:r>
              <w:rPr>
                <w:rFonts w:ascii="Helvetica" w:hAnsi="Helvetica" w:cs="Helvetica" w:eastAsia="Helvetica"/>
                <w:color w:val="C00000"/>
                <w:sz w:val="19"/>
              </w:rPr>
              <w:t xml:space="preserve">●</w:t>
            </w:r>
            <w:r>
              <w:rPr>
                <w:rFonts w:ascii="Helvetica" w:hAnsi="Helvetica" w:cs="Helvetica" w:eastAsia="Helvetica"/>
                <w:sz w:val="19"/>
              </w:rPr>
              <w:t xml:space="preserve"> </w:t>
            </w:r>
            <w:r>
              <w:rPr>
                <w:rFonts w:ascii="Helvetica" w:hAnsi="Helvetica" w:cs="Helvetica" w:eastAsia="Helvetica"/>
                <w:b/>
                <w:sz w:val="19"/>
              </w:rPr>
              <w:t>P1</w:t>
            </w:r>
            <w:r>
              <w:rPr>
                <w:rFonts w:ascii="Helvetica" w:hAnsi="Helvetica" w:cs="Helvetica" w:eastAsia="Helvetica"/>
                <w:sz w:val="19"/>
              </w:rPr>
              <w:t>.   Responsable : Conseil d'administration, Direction générale.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10, 13, 178 et 184. Risque R2 de la cartographie.</w:t>
            </w:r>
          </w:p>
        </w:tc>
      </w:tr>
    </w:tbl>
    <w:p/>
    <w:p>
      <w:pPr>
        <w:pStyle w:val="Heading3"/>
      </w:pPr>
      <w:r>
        <w:t>Constat 15 : Les fonds propres du FPPN sont négatifs</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Les fonds propres sont négatifs à chaque clôture depuis 2020 : environ -6,7 milliards de FCFA fin 2020 (-6 743 081 733 FCFA), -438 242 200 FCFA fin 2025 et -879 498 700 FCFA au 31/08/2026.</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Les fonds propres sont le coussin qui absorbe un coup dur. Négatifs, ils signifient que les pertes passées dépassent les réserves.</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La tendance était bonne jusqu'en 2025 grâce aux excédents. Le déficit des huit premiers mois de 2026 (-441 256 500 FCFA) l'interrompt. À titre d'illustration, si les provisions étaient remises à leur juste niveau (constat 1) et si les intérêts dus et les pertes sur prêts étaient comptabilisés (constats 4 et 6), les fonds propres du 31/08/2026 deviendraient positifs d'environ 637 millions de FCFA (637 288 568 FCFA). Une partie du problème vient donc du rangement des comptes.</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Le FPPN n'a pas encore de réserve pour faire face à une mauvaise année.</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Affecter les excédents futurs aux réserves.</w:t>
              <w:br/>
              <w:t>• Réaliser les reclassements des constats 1, 4 et 6 après décision des organes.</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Moyenne</w:t>
            </w:r>
            <w:r>
              <w:rPr>
                <w:rFonts w:ascii="Helvetica" w:hAnsi="Helvetica" w:cs="Helvetica" w:eastAsia="Helvetica"/>
                <w:sz w:val="19"/>
              </w:rPr>
              <w:t xml:space="preserve">.   Priorité : </w:t>
            </w:r>
            <w:r>
              <w:rPr>
                <w:rFonts w:ascii="Helvetica" w:hAnsi="Helvetica" w:cs="Helvetica" w:eastAsia="Helvetica"/>
                <w:color w:val="ED7D31"/>
                <w:sz w:val="19"/>
              </w:rPr>
              <w:t xml:space="preserve">●</w:t>
            </w:r>
            <w:r>
              <w:rPr>
                <w:rFonts w:ascii="Helvetica" w:hAnsi="Helvetica" w:cs="Helvetica" w:eastAsia="Helvetica"/>
                <w:sz w:val="19"/>
              </w:rPr>
              <w:t xml:space="preserve"> </w:t>
            </w:r>
            <w:r>
              <w:rPr>
                <w:rFonts w:ascii="Helvetica" w:hAnsi="Helvetica" w:cs="Helvetica" w:eastAsia="Helvetica"/>
                <w:b/>
                <w:sz w:val="19"/>
              </w:rPr>
              <w:t>P2</w:t>
            </w:r>
            <w:r>
              <w:rPr>
                <w:rFonts w:ascii="Helvetica" w:hAnsi="Helvetica" w:cs="Helvetica" w:eastAsia="Helvetica"/>
                <w:sz w:val="19"/>
              </w:rPr>
              <w:t>.   Responsable : Assemblée générale, Conseil d'administration.</w:t>
            </w:r>
          </w:p>
        </w:tc>
      </w:tr>
      <w:tr>
        <w:tc>
          <w:tcPr>
            <w:tcW w:type="dxa" w:w="2494"/>
            <w:shd w:val="clear" w:color="auto" w:fill="F2F2F2"/>
          </w:tcPr>
          <w:p>
            <w:pPr>
              <w:spacing w:after="40" w:before="40" w:line="252" w:lineRule="auto"/>
            </w:pPr>
            <w:r>
              <w:rPr>
                <w:rFonts w:ascii="Helvetica" w:hAnsi="Helvetica" w:cs="Helvetica" w:eastAsia="Helvetica"/>
                <w:b/>
                <w:sz w:val="19"/>
              </w:rPr>
              <w:t>À confirmer</w:t>
            </w:r>
          </w:p>
        </w:tc>
        <w:tc>
          <w:tcPr>
            <w:tcW w:type="dxa" w:w="7937"/>
          </w:tcPr>
          <w:p>
            <w:pPr>
              <w:spacing w:after="40" w:before="40" w:line="252" w:lineRule="auto"/>
            </w:pPr>
            <w:r>
              <w:rPr>
                <w:rFonts w:ascii="Helvetica" w:hAnsi="Helvetica" w:cs="Helvetica" w:eastAsia="Helvetica"/>
                <w:sz w:val="19"/>
              </w:rPr>
              <w:t>Le montant de 637 288 568 FCFA est une illustration : le reclassement exige une décision des organes et l'avis de l'AIRMS.</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160 et 161. Risque R6 de la cartographie.</w:t>
            </w:r>
          </w:p>
        </w:tc>
      </w:tr>
    </w:tbl>
    <w:p/>
    <w:p>
      <w:pPr>
        <w:pStyle w:val="Heading3"/>
      </w:pPr>
      <w:r>
        <w:t>Constat 16 : Les frais de fonctionnement dépassent la norme</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En 2025, les frais de fonctionnement représentent 36,34 % des cotisations, et 44,12 % sur les huit premiers mois de 2026, pour un maximum réglementaire de 20 %.</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Chaque franc de frais est un franc qui ne sert pas aux soins, aux allocations ou à l'épargne.</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Le taux baisse de 84,31 % en 2020 à 36,34 % en 2025, grâce à la hausse des cotisations. Il remonte en 2026. Les frais couvrent le personnel, les indemnités des organes, le fonctionnement et les amortissements.</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Une plus grande part de vos cotisations doit revenir en prestations.</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Fixer un budget de fonctionnement avec un objectif de baisse vers 20 % des cotisations.</w:t>
              <w:br/>
              <w:t>• Présenter chaque année l'écart entre budget et réalisé.</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Moyenne</w:t>
            </w:r>
            <w:r>
              <w:rPr>
                <w:rFonts w:ascii="Helvetica" w:hAnsi="Helvetica" w:cs="Helvetica" w:eastAsia="Helvetica"/>
                <w:sz w:val="19"/>
              </w:rPr>
              <w:t xml:space="preserve">.   Priorité : </w:t>
            </w:r>
            <w:r>
              <w:rPr>
                <w:rFonts w:ascii="Helvetica" w:hAnsi="Helvetica" w:cs="Helvetica" w:eastAsia="Helvetica"/>
                <w:color w:val="FFC000"/>
                <w:sz w:val="19"/>
              </w:rPr>
              <w:t xml:space="preserve">●</w:t>
            </w:r>
            <w:r>
              <w:rPr>
                <w:rFonts w:ascii="Helvetica" w:hAnsi="Helvetica" w:cs="Helvetica" w:eastAsia="Helvetica"/>
                <w:sz w:val="19"/>
              </w:rPr>
              <w:t xml:space="preserve"> </w:t>
            </w:r>
            <w:r>
              <w:rPr>
                <w:rFonts w:ascii="Helvetica" w:hAnsi="Helvetica" w:cs="Helvetica" w:eastAsia="Helvetica"/>
                <w:b/>
                <w:sz w:val="19"/>
              </w:rPr>
              <w:t>P3</w:t>
            </w:r>
            <w:r>
              <w:rPr>
                <w:rFonts w:ascii="Helvetica" w:hAnsi="Helvetica" w:cs="Helvetica" w:eastAsia="Helvetica"/>
                <w:sz w:val="19"/>
              </w:rPr>
              <w:t>.   Responsable : Direction générale, Conseil d'administration.</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13 et 39.</w:t>
            </w:r>
          </w:p>
        </w:tc>
      </w:tr>
    </w:tbl>
    <w:p/>
    <w:p>
      <w:pPr>
        <w:pStyle w:val="Heading3"/>
      </w:pPr>
      <w:r>
        <w:t>Constat 17 : La clinique n'a pas de comptabilité séparée</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Le bilan du FPPN porte 7 083 534 565 FCFA pour la clinique (CMP) : 5 803 025 455 FCFA d'investissements et 1 280 300 860 FCFA de charges de fonctionnement. Aucune comptabilité séparée de la clinique n'a été transmise.</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La réglementation interdit de couvrir les pertes d'une activité de soins avec les cotisations ou les réserves obligatoires (règlement d'exécution n° 004/2022, art. 27).</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Sans comptabilité séparée, personne ne sait si la clinique gagne ou perd de l'argent, ni combien d'épargne y est engagée.</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Vous devez savoir combien coûte et rapporte la clinique financée avec vos cotisations et votre épargne.</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Tenir une comptabilité séparée de la clinique et présenter son résultat chaque année.</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Moyenne</w:t>
            </w:r>
            <w:r>
              <w:rPr>
                <w:rFonts w:ascii="Helvetica" w:hAnsi="Helvetica" w:cs="Helvetica" w:eastAsia="Helvetica"/>
                <w:sz w:val="19"/>
              </w:rPr>
              <w:t xml:space="preserve">.   Priorité : </w:t>
            </w:r>
            <w:r>
              <w:rPr>
                <w:rFonts w:ascii="Helvetica" w:hAnsi="Helvetica" w:cs="Helvetica" w:eastAsia="Helvetica"/>
                <w:color w:val="ED7D31"/>
                <w:sz w:val="19"/>
              </w:rPr>
              <w:t xml:space="preserve">●</w:t>
            </w:r>
            <w:r>
              <w:rPr>
                <w:rFonts w:ascii="Helvetica" w:hAnsi="Helvetica" w:cs="Helvetica" w:eastAsia="Helvetica"/>
                <w:sz w:val="19"/>
              </w:rPr>
              <w:t xml:space="preserve"> </w:t>
            </w:r>
            <w:r>
              <w:rPr>
                <w:rFonts w:ascii="Helvetica" w:hAnsi="Helvetica" w:cs="Helvetica" w:eastAsia="Helvetica"/>
                <w:b/>
                <w:sz w:val="19"/>
              </w:rPr>
              <w:t>P2</w:t>
            </w:r>
            <w:r>
              <w:rPr>
                <w:rFonts w:ascii="Helvetica" w:hAnsi="Helvetica" w:cs="Helvetica" w:eastAsia="Helvetica"/>
                <w:sz w:val="19"/>
              </w:rPr>
              <w:t>.   Responsable : Direction générale, service comptable.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148, 164 et 201.</w:t>
            </w:r>
          </w:p>
        </w:tc>
      </w:tr>
    </w:tbl>
    <w:p/>
    <w:p>
      <w:pPr>
        <w:pStyle w:val="Heading3"/>
      </w:pPr>
      <w:r>
        <w:t>Constat 18 : Des sommes durables sont rangées en comptes d'attente</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Au 31/08/2026, 11 603 989 675 FCFA d'avances à la clinique et au Grenier et de créance sur l'hôpital sont suivis en comptes d'attente ou de tiers, comme s'ils devaient être remboursés à court terme.</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Le plan comptable des mutuelles prévoit des comptes de prêts et de placements durables pour ces sommes.</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Ce rangement fausse la lecture des comptes : il présente comme de court terme de l'argent bloqué pour longtemps.</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Les comptes doivent montrer clairement où est placé l'argent des adhérents.</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Reclasser ces sommes dans les comptes prévus par le plan comptable des mutuelles.</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Faible</w:t>
            </w:r>
            <w:r>
              <w:rPr>
                <w:rFonts w:ascii="Helvetica" w:hAnsi="Helvetica" w:cs="Helvetica" w:eastAsia="Helvetica"/>
                <w:sz w:val="19"/>
              </w:rPr>
              <w:t xml:space="preserve">.   Priorité : </w:t>
            </w:r>
            <w:r>
              <w:rPr>
                <w:rFonts w:ascii="Helvetica" w:hAnsi="Helvetica" w:cs="Helvetica" w:eastAsia="Helvetica"/>
                <w:color w:val="FFC000"/>
                <w:sz w:val="19"/>
              </w:rPr>
              <w:t xml:space="preserve">●</w:t>
            </w:r>
            <w:r>
              <w:rPr>
                <w:rFonts w:ascii="Helvetica" w:hAnsi="Helvetica" w:cs="Helvetica" w:eastAsia="Helvetica"/>
                <w:sz w:val="19"/>
              </w:rPr>
              <w:t xml:space="preserve"> </w:t>
            </w:r>
            <w:r>
              <w:rPr>
                <w:rFonts w:ascii="Helvetica" w:hAnsi="Helvetica" w:cs="Helvetica" w:eastAsia="Helvetica"/>
                <w:b/>
                <w:sz w:val="19"/>
              </w:rPr>
              <w:t>P3</w:t>
            </w:r>
            <w:r>
              <w:rPr>
                <w:rFonts w:ascii="Helvetica" w:hAnsi="Helvetica" w:cs="Helvetica" w:eastAsia="Helvetica"/>
                <w:sz w:val="19"/>
              </w:rPr>
              <w:t>.   Responsable : Service comptable.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200.</w:t>
            </w:r>
          </w:p>
        </w:tc>
      </w:tr>
    </w:tbl>
    <w:p/>
    <w:p>
      <w:pPr>
        <w:pStyle w:val="Heading2"/>
      </w:pPr>
      <w:r>
        <w:t>3.5. GARANTIE MALADIE ET COTISATIONS</w:t>
      </w:r>
    </w:p>
    <w:p>
      <w:pPr>
        <w:pStyle w:val="Heading3"/>
      </w:pPr>
      <w:r>
        <w:t>Constat 19 : La garantie maladie perd de l'argent depuis 2025</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La part des cotisations maladie consommée par les soins passe de 6,00 % en 2021 à 73,53 % en 2025 et 97,40 % sur les huit premiers mois de 2026. Frais compris, la maladie coûte 109,87 % de ses cotisations en 2025 et 141,52 % en 2026. Elle perd 237 774 567 FCFA en 2025 et 701 679 552 FCFA sur les huit premiers mois de 2026.</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Une garantie qui coûte plus qu'elle ne rapporte doit être financée par autre chose. Au FPPN, c'est la garantie décès qui la finance.</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Le niveau bas de 2020 à 2022 n'était pas un signe de bonne santé : la couverture était limitée aux soins liés à une hospitalisation (règlement intérieur, art. 41 et 45) et le FPPN accumulait des factures impayées envers les cliniques (1 394 774 547 FCFA fin 2020). De même, le taux global de 75,20 % en 2026 est dans la fourchette de l'AIRMS (70 % à 80 %), mais il cache une maladie très déficitaire compensée par le décès : être dans la norme ne veut pas dire être à l'équilibre.</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Au rythme actuel, les soins coûteront plus que les cotisations maladie. Sans mesure, il faudra revoir les cotisations ou les remboursements.</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Recalculer la cotisation maladie sur le coût complet de la garantie, frais compris.</w:t>
              <w:br/>
              <w:t>• Revoir le barème des remboursements et les conventions avec les cliniques.</w:t>
              <w:br/>
              <w:t>• Contrôler après paiement au moins 5 % des factures (Décision n° 05/2022).</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Élevée</w:t>
            </w:r>
            <w:r>
              <w:rPr>
                <w:rFonts w:ascii="Helvetica" w:hAnsi="Helvetica" w:cs="Helvetica" w:eastAsia="Helvetica"/>
                <w:sz w:val="19"/>
              </w:rPr>
              <w:t xml:space="preserve">.   Priorité : </w:t>
            </w:r>
            <w:r>
              <w:rPr>
                <w:rFonts w:ascii="Helvetica" w:hAnsi="Helvetica" w:cs="Helvetica" w:eastAsia="Helvetica"/>
                <w:color w:val="ED7D31"/>
                <w:sz w:val="19"/>
              </w:rPr>
              <w:t xml:space="preserve">●</w:t>
            </w:r>
            <w:r>
              <w:rPr>
                <w:rFonts w:ascii="Helvetica" w:hAnsi="Helvetica" w:cs="Helvetica" w:eastAsia="Helvetica"/>
                <w:sz w:val="19"/>
              </w:rPr>
              <w:t xml:space="preserve"> </w:t>
            </w:r>
            <w:r>
              <w:rPr>
                <w:rFonts w:ascii="Helvetica" w:hAnsi="Helvetica" w:cs="Helvetica" w:eastAsia="Helvetica"/>
                <w:b/>
                <w:sz w:val="19"/>
              </w:rPr>
              <w:t>P2</w:t>
            </w:r>
            <w:r>
              <w:rPr>
                <w:rFonts w:ascii="Helvetica" w:hAnsi="Helvetica" w:cs="Helvetica" w:eastAsia="Helvetica"/>
                <w:sz w:val="19"/>
              </w:rPr>
              <w:t>.   Responsable : Conseil d'administration, Assemblée générale, service des prestations.</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11, 13, 75 et 195. Risque R5 de la cartographie.</w:t>
            </w:r>
          </w:p>
        </w:tc>
      </w:tr>
    </w:tbl>
    <w:p/>
    <w:p>
      <w:pPr>
        <w:pStyle w:val="Heading3"/>
      </w:pPr>
      <w:r>
        <w:t>Constat 20 : La part des cotisations entre maladie et décès n'est pas la même partout</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Le prélèvement total de 5 % du salaire de base est respecté. Mais la Solde prélève 3,77 % pour la maladie et 1,23 % pour le décès, alors que les statuts (art. 17) fixent 3,50 % et 1,50 %. La comptabilité 2025 retient encore une autre répartition (3,52 % et 1,48 %).</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La répartition décide de ce que chaque garantie reçoit, donc de son résultat.</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Le policier paie le bon total. Mais sans clé unique, le résultat de la maladie et celui du décès sont incertains, alors que la réglementation impose de les suivre séparément.</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Votre cotisation totale est correcte. C'est son partage entre maladie et décès qui doit être harmonisé.</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Notifier à la Solde la répartition fixée par les statuts et l'appliquer en comptabilité.</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Faible</w:t>
            </w:r>
            <w:r>
              <w:rPr>
                <w:rFonts w:ascii="Helvetica" w:hAnsi="Helvetica" w:cs="Helvetica" w:eastAsia="Helvetica"/>
                <w:sz w:val="19"/>
              </w:rPr>
              <w:t xml:space="preserve">.   Priorité : </w:t>
            </w:r>
            <w:r>
              <w:rPr>
                <w:rFonts w:ascii="Helvetica" w:hAnsi="Helvetica" w:cs="Helvetica" w:eastAsia="Helvetica"/>
                <w:color w:val="ED7D31"/>
                <w:sz w:val="19"/>
              </w:rPr>
              <w:t xml:space="preserve">●</w:t>
            </w:r>
            <w:r>
              <w:rPr>
                <w:rFonts w:ascii="Helvetica" w:hAnsi="Helvetica" w:cs="Helvetica" w:eastAsia="Helvetica"/>
                <w:sz w:val="19"/>
              </w:rPr>
              <w:t xml:space="preserve"> </w:t>
            </w:r>
            <w:r>
              <w:rPr>
                <w:rFonts w:ascii="Helvetica" w:hAnsi="Helvetica" w:cs="Helvetica" w:eastAsia="Helvetica"/>
                <w:b/>
                <w:sz w:val="19"/>
              </w:rPr>
              <w:t>P2</w:t>
            </w:r>
            <w:r>
              <w:rPr>
                <w:rFonts w:ascii="Helvetica" w:hAnsi="Helvetica" w:cs="Helvetica" w:eastAsia="Helvetica"/>
                <w:sz w:val="19"/>
              </w:rPr>
              <w:t>.   Responsable : Direction générale, responsable des cotisations.</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9 et 65.</w:t>
            </w:r>
          </w:p>
        </w:tc>
      </w:tr>
    </w:tbl>
    <w:p/>
    <w:p>
      <w:pPr>
        <w:pStyle w:val="Heading3"/>
      </w:pPr>
      <w:r>
        <w:t>Constat 21 : Le paiement des cliniques ralentit en 2026</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Le délai moyen de paiement des cliniques passe de 53,38 mois en 2020 à 2,62 mois en 2025, puis remonte à 5,00 mois au 31/08/2026. Les factures non payées passent de 242 140 869 FCFA fin 2025 à 690 234 451 FCFA au 31/08/2026.</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Le règlement intérieur (art. 52) fixe le paiement des cliniques à 3 mois. Des retards répétés peuvent pousser les cliniques à refuser les policiers.</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Le FPPN a fait un gros effort de rattrapage de 2020 à 2025. La remontée de 2026 coïncide avec le déficit de la garantie maladie (constat 19) : elle est à surveiller de près.</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Des retards de paiement peuvent rendre plus difficile votre accueil dans les cliniques conventionnées.</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Suivre chaque mois le délai de paiement et les factures en attente.</w:t>
              <w:br/>
              <w:t>• Enregistrer la date des soins et la date de dépôt de chaque facture.</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Moyenne</w:t>
            </w:r>
            <w:r>
              <w:rPr>
                <w:rFonts w:ascii="Helvetica" w:hAnsi="Helvetica" w:cs="Helvetica" w:eastAsia="Helvetica"/>
                <w:sz w:val="19"/>
              </w:rPr>
              <w:t xml:space="preserve">.   Priorité : </w:t>
            </w:r>
            <w:r>
              <w:rPr>
                <w:rFonts w:ascii="Helvetica" w:hAnsi="Helvetica" w:cs="Helvetica" w:eastAsia="Helvetica"/>
                <w:color w:val="ED7D31"/>
                <w:sz w:val="19"/>
              </w:rPr>
              <w:t xml:space="preserve">●</w:t>
            </w:r>
            <w:r>
              <w:rPr>
                <w:rFonts w:ascii="Helvetica" w:hAnsi="Helvetica" w:cs="Helvetica" w:eastAsia="Helvetica"/>
                <w:sz w:val="19"/>
              </w:rPr>
              <w:t xml:space="preserve"> </w:t>
            </w:r>
            <w:r>
              <w:rPr>
                <w:rFonts w:ascii="Helvetica" w:hAnsi="Helvetica" w:cs="Helvetica" w:eastAsia="Helvetica"/>
                <w:b/>
                <w:sz w:val="19"/>
              </w:rPr>
              <w:t>P2</w:t>
            </w:r>
            <w:r>
              <w:rPr>
                <w:rFonts w:ascii="Helvetica" w:hAnsi="Helvetica" w:cs="Helvetica" w:eastAsia="Helvetica"/>
                <w:sz w:val="19"/>
              </w:rPr>
              <w:t>.   Responsable : Service des prestations, service comptable.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120 et 121.</w:t>
            </w:r>
          </w:p>
        </w:tc>
      </w:tr>
    </w:tbl>
    <w:p/>
    <w:p>
      <w:pPr>
        <w:pStyle w:val="Heading3"/>
      </w:pPr>
      <w:r>
        <w:t>Constat 22 : Le coût des soins des policiers retraités n'est pas suivi</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Les retraités qui cotisent par la CGRAE passent de 16 en février 2024 à 610 en août 2026, avec une cotisation moyenne de 11 954 FCFA par mois. Leurs soins ne sont pas suivis à part, et leur date de naissance n'est connue que pour 105 d'entre eux.</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Un retraité a en général plus de besoins de soins qu'un actif, et sur une longue durée.</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Sans suivi des soins des retraités, le FPPN ne sait pas si leur cotisation couvre leur coût, ni combien il s'engage à payer s'il les couvre à vie.</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Si vous êtes ou serez retraité, le FPPN doit vérifier que la garantie santé pourra être tenue dans la durée.</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Suivre séparément les soins des retraités.</w:t>
              <w:br/>
              <w:t>• Fixer par écrit la durée de la garantie santé des retraités (à vie ou limitée).</w:t>
              <w:br/>
              <w:t>• Obtenir de la CGRAE les dates de naissance des retraités.</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Moyenne</w:t>
            </w:r>
            <w:r>
              <w:rPr>
                <w:rFonts w:ascii="Helvetica" w:hAnsi="Helvetica" w:cs="Helvetica" w:eastAsia="Helvetica"/>
                <w:sz w:val="19"/>
              </w:rPr>
              <w:t xml:space="preserve">.   Priorité : </w:t>
            </w:r>
            <w:r>
              <w:rPr>
                <w:rFonts w:ascii="Helvetica" w:hAnsi="Helvetica" w:cs="Helvetica" w:eastAsia="Helvetica"/>
                <w:color w:val="FFC000"/>
                <w:sz w:val="19"/>
              </w:rPr>
              <w:t xml:space="preserve">●</w:t>
            </w:r>
            <w:r>
              <w:rPr>
                <w:rFonts w:ascii="Helvetica" w:hAnsi="Helvetica" w:cs="Helvetica" w:eastAsia="Helvetica"/>
                <w:sz w:val="19"/>
              </w:rPr>
              <w:t xml:space="preserve"> </w:t>
            </w:r>
            <w:r>
              <w:rPr>
                <w:rFonts w:ascii="Helvetica" w:hAnsi="Helvetica" w:cs="Helvetica" w:eastAsia="Helvetica"/>
                <w:b/>
                <w:sz w:val="19"/>
              </w:rPr>
              <w:t>P3</w:t>
            </w:r>
            <w:r>
              <w:rPr>
                <w:rFonts w:ascii="Helvetica" w:hAnsi="Helvetica" w:cs="Helvetica" w:eastAsia="Helvetica"/>
                <w:sz w:val="19"/>
              </w:rPr>
              <w:t>.   Responsable : Service des prestations, Conseil d'administration.</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112. Risque R9 de la cartographie.</w:t>
            </w:r>
          </w:p>
        </w:tc>
      </w:tr>
    </w:tbl>
    <w:p/>
    <w:p>
      <w:pPr>
        <w:pStyle w:val="Heading2"/>
      </w:pPr>
      <w:r>
        <w:t>3.6. PLACEMENTS ET DÉCISIONS</w:t>
      </w:r>
    </w:p>
    <w:p>
      <w:pPr>
        <w:pStyle w:val="Heading3"/>
      </w:pPr>
      <w:r>
        <w:t>Constat 23 : Les placements sont trop faibles pour servir l'épargne promise</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En 2025, l'argent réellement placé (dépôts à terme et fonds commun de placement) vaut en moyenne 763 752 135 FCFA, soit 5,53 % de l'épargne due. Les placements ont rapporté 4,90 % par an en moyenne de 2021 à 2025. En 2025, les intérêts dus sur l'épargne dépassent les produits des placements de 470 608 168 FCFA.</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Les placements doivent être sûrs, rentables, disponibles et variés (règlement d'exécution n° 004/2022, art. 17).</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Le rendement lui-même n'est pas mauvais : il dépasse le taux directeur de la BCEAO (2,00 % à 3,50 %). Le problème est le volume : presque toute l'épargne est immobilisée dans des biens qui ne rapportent ni intérêts ni liquidités.</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Votre épargne doit être placée de façon à rapporter les intérêts promis et à rester disponible.</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Faire voter une politique de placement : part minimale disponible, rendement minimal au regard du taux servi, limites sur l'immobilier.</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Moyenne</w:t>
            </w:r>
            <w:r>
              <w:rPr>
                <w:rFonts w:ascii="Helvetica" w:hAnsi="Helvetica" w:cs="Helvetica" w:eastAsia="Helvetica"/>
                <w:sz w:val="19"/>
              </w:rPr>
              <w:t xml:space="preserve">.   Priorité : </w:t>
            </w:r>
            <w:r>
              <w:rPr>
                <w:rFonts w:ascii="Helvetica" w:hAnsi="Helvetica" w:cs="Helvetica" w:eastAsia="Helvetica"/>
                <w:color w:val="ED7D31"/>
                <w:sz w:val="19"/>
              </w:rPr>
              <w:t xml:space="preserve">●</w:t>
            </w:r>
            <w:r>
              <w:rPr>
                <w:rFonts w:ascii="Helvetica" w:hAnsi="Helvetica" w:cs="Helvetica" w:eastAsia="Helvetica"/>
                <w:sz w:val="19"/>
              </w:rPr>
              <w:t xml:space="preserve"> </w:t>
            </w:r>
            <w:r>
              <w:rPr>
                <w:rFonts w:ascii="Helvetica" w:hAnsi="Helvetica" w:cs="Helvetica" w:eastAsia="Helvetica"/>
                <w:b/>
                <w:sz w:val="19"/>
              </w:rPr>
              <w:t>P2</w:t>
            </w:r>
            <w:r>
              <w:rPr>
                <w:rFonts w:ascii="Helvetica" w:hAnsi="Helvetica" w:cs="Helvetica" w:eastAsia="Helvetica"/>
                <w:sz w:val="19"/>
              </w:rPr>
              <w:t>.   Responsable : Conseil d'administration.</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8, 162, 165 et 166. Risque R8 de la cartographie.</w:t>
            </w:r>
          </w:p>
        </w:tc>
      </w:tr>
    </w:tbl>
    <w:p/>
    <w:p>
      <w:pPr>
        <w:pStyle w:val="Heading3"/>
      </w:pPr>
      <w:r>
        <w:t>Constat 24 : Les décisions de placement ne passent pas par le conseil d'administration</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highlight w:val="yellow"/>
              </w:rPr>
              <w:t>Selon le chef comptable, le directeur général décide seul des placements.</w:t>
            </w:r>
            <w:r>
              <w:rPr>
                <w:rFonts w:ascii="Helvetica" w:hAnsi="Helvetica" w:cs="Helvetica" w:eastAsia="Helvetica"/>
                <w:sz w:val="19"/>
              </w:rPr>
              <w:t xml:space="preserve"> Aucune délibération du conseil d'administration sur les placements n'a été transmise, alors que les statuts l'exigent (art. 85). Le projet immobilier de Cocody n'a ni budget ni plan de financement transmis. La désignation du directeur général n'est documentée que pour 2020 à 2023.</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Les décisions qui engagent l'argent des adhérents doivent être prises par les organes élus et tracées par écrit.</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Il ne s'agit pas de mettre en cause une personne, mais de protéger le FPPN et ses dirigeants par des décisions collectives et écrites. Le projet de Cocody engagerait l'épargne dans un bien de long terme, alors que la liquidité ne couvre pas l'année qui vient (constat 11).</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Les grandes décisions sur votre argent doivent être prises collectivement par vos représentants.</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Faire délibérer le conseil d'administration sur chaque placement.</w:t>
              <w:br/>
              <w:t>• Présenter aux organes le budget, le financement et l'effet sur la liquidité du projet de Cocody avant tout engagement.</w:t>
              <w:br/>
              <w:t>• Documenter le mandat du directeur général après 2023.</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Faible</w:t>
            </w:r>
            <w:r>
              <w:rPr>
                <w:rFonts w:ascii="Helvetica" w:hAnsi="Helvetica" w:cs="Helvetica" w:eastAsia="Helvetica"/>
                <w:sz w:val="19"/>
              </w:rPr>
              <w:t xml:space="preserve">.   Priorité : </w:t>
            </w:r>
            <w:r>
              <w:rPr>
                <w:rFonts w:ascii="Helvetica" w:hAnsi="Helvetica" w:cs="Helvetica" w:eastAsia="Helvetica"/>
                <w:color w:val="ED7D31"/>
                <w:sz w:val="19"/>
              </w:rPr>
              <w:t xml:space="preserve">●</w:t>
            </w:r>
            <w:r>
              <w:rPr>
                <w:rFonts w:ascii="Helvetica" w:hAnsi="Helvetica" w:cs="Helvetica" w:eastAsia="Helvetica"/>
                <w:sz w:val="19"/>
              </w:rPr>
              <w:t xml:space="preserve"> </w:t>
            </w:r>
            <w:r>
              <w:rPr>
                <w:rFonts w:ascii="Helvetica" w:hAnsi="Helvetica" w:cs="Helvetica" w:eastAsia="Helvetica"/>
                <w:b/>
                <w:sz w:val="19"/>
              </w:rPr>
              <w:t>P2</w:t>
            </w:r>
            <w:r>
              <w:rPr>
                <w:rFonts w:ascii="Helvetica" w:hAnsi="Helvetica" w:cs="Helvetica" w:eastAsia="Helvetica"/>
                <w:sz w:val="19"/>
              </w:rPr>
              <w:t>.   Responsable : Conseil d'administration.</w:t>
            </w:r>
          </w:p>
        </w:tc>
      </w:tr>
      <w:tr>
        <w:tc>
          <w:tcPr>
            <w:tcW w:type="dxa" w:w="2494"/>
            <w:shd w:val="clear" w:color="auto" w:fill="F2F2F2"/>
          </w:tcPr>
          <w:p>
            <w:pPr>
              <w:spacing w:after="40" w:before="40" w:line="252" w:lineRule="auto"/>
            </w:pPr>
            <w:r>
              <w:rPr>
                <w:rFonts w:ascii="Helvetica" w:hAnsi="Helvetica" w:cs="Helvetica" w:eastAsia="Helvetica"/>
                <w:b/>
                <w:sz w:val="19"/>
              </w:rPr>
              <w:t>À confirmer</w:t>
            </w:r>
          </w:p>
        </w:tc>
        <w:tc>
          <w:tcPr>
            <w:tcW w:type="dxa" w:w="7937"/>
          </w:tcPr>
          <w:p>
            <w:pPr>
              <w:spacing w:after="40" w:before="40" w:line="252" w:lineRule="auto"/>
            </w:pPr>
            <w:r>
              <w:rPr>
                <w:rFonts w:ascii="Helvetica" w:hAnsi="Helvetica" w:cs="Helvetica" w:eastAsia="Helvetica"/>
                <w:sz w:val="19"/>
              </w:rPr>
              <w:t>Le fonctionnement des décisions de placement repose sur une déclaration du chef comptable, à confirmer par les pièces.</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11, 163 et 164. Risque R10 de la cartographie.</w:t>
            </w:r>
          </w:p>
        </w:tc>
      </w:tr>
    </w:tbl>
    <w:p/>
    <w:p>
      <w:pPr>
        <w:pStyle w:val="Heading2"/>
      </w:pPr>
      <w:r>
        <w:t>3.7. PRÊTS DU GRENIER DU POLICIER</w:t>
      </w:r>
    </w:p>
    <w:p>
      <w:pPr>
        <w:pStyle w:val="Heading3"/>
      </w:pPr>
      <w:r>
        <w:t>Constat 25 : Le Grenier grandit très vite avec l'argent de l'épargne</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L'encours des prêts du Grenier passe de 7 900 000 FCFA fin 2021 à 1 044 302 107 FCFA au 31/08/2026, soit 132 fois plus. Le FPPN finance 87,66 % de cet encours (915 477 260 FCFA).</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Les prêts sont un service apprécié, mais l'argent prêté n'est plus disponible pour rembourser l'épargne.</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Les prêts sont courts (10 mois en médiane) et rapportent (taux médian de 18,00 %). Le risque est la vitesse de croissance, financée par une épargne qui n'est déjà couverte qu'à 16,28 %.</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Le Grenier vous rend service, mais sa croissance ne doit pas mettre en danger le remboursement de votre épargne.</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Fixer par décision un plafond de financement du Grenier par le FPPN.</w:t>
              <w:br/>
              <w:t>• Suivre chaque mois les retards de remboursement.</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Moyenne</w:t>
            </w:r>
            <w:r>
              <w:rPr>
                <w:rFonts w:ascii="Helvetica" w:hAnsi="Helvetica" w:cs="Helvetica" w:eastAsia="Helvetica"/>
                <w:sz w:val="19"/>
              </w:rPr>
              <w:t xml:space="preserve">.   Priorité : </w:t>
            </w:r>
            <w:r>
              <w:rPr>
                <w:rFonts w:ascii="Helvetica" w:hAnsi="Helvetica" w:cs="Helvetica" w:eastAsia="Helvetica"/>
                <w:color w:val="FFC000"/>
                <w:sz w:val="19"/>
              </w:rPr>
              <w:t xml:space="preserve">●</w:t>
            </w:r>
            <w:r>
              <w:rPr>
                <w:rFonts w:ascii="Helvetica" w:hAnsi="Helvetica" w:cs="Helvetica" w:eastAsia="Helvetica"/>
                <w:sz w:val="19"/>
              </w:rPr>
              <w:t xml:space="preserve"> </w:t>
            </w:r>
            <w:r>
              <w:rPr>
                <w:rFonts w:ascii="Helvetica" w:hAnsi="Helvetica" w:cs="Helvetica" w:eastAsia="Helvetica"/>
                <w:b/>
                <w:sz w:val="19"/>
              </w:rPr>
              <w:t>P3</w:t>
            </w:r>
            <w:r>
              <w:rPr>
                <w:rFonts w:ascii="Helvetica" w:hAnsi="Helvetica" w:cs="Helvetica" w:eastAsia="Helvetica"/>
                <w:sz w:val="19"/>
              </w:rPr>
              <w:t>.   Responsable : Conseil d'administration, Grenier.</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102 à 108. Risque R7 de la cartographie.</w:t>
            </w:r>
          </w:p>
        </w:tc>
      </w:tr>
    </w:tbl>
    <w:p/>
    <w:p>
      <w:pPr>
        <w:pStyle w:val="Heading2"/>
      </w:pPr>
      <w:r>
        <w:t>3.8. DONNÉES ET CONTRÔLE INTERNE</w:t>
      </w:r>
    </w:p>
    <w:p>
      <w:pPr>
        <w:pStyle w:val="Heading3"/>
      </w:pPr>
      <w:r>
        <w:t>Constat 26 : Des données essentielles manquent pour finir les calculs</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Le FPPN n'a pas transmis de base des prestations avec les dates (soins, dépôt, paiement), ni les dates de naissance des policiers, ni le fichier des ayants droit. Les fichiers maladie et décès de décembre 2024 sont vides.</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Sans ces données, il est impossible de calculer les provisions dossier par dossier, la mortalité par âge et l'engagement envers les retraités.</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Ces manques expliquent pourquoi deux réponses sur quatre sont seulement « partiellement démontrées ». Ils ne changent pas le sens des conclusions, mais ils en limitent la précision.</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Des fichiers complets et à jour sont la condition pour bien protéger vos droits.</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Transmettre les données demandées (liste des documents demandés).</w:t>
              <w:br/>
              <w:t>• Enregistrer dans le logiciel la date des soins et la date de dépôt de chaque facture.</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Moyenne</w:t>
            </w:r>
            <w:r>
              <w:rPr>
                <w:rFonts w:ascii="Helvetica" w:hAnsi="Helvetica" w:cs="Helvetica" w:eastAsia="Helvetica"/>
                <w:sz w:val="19"/>
              </w:rPr>
              <w:t xml:space="preserve">.   Priorité : </w:t>
            </w:r>
            <w:r>
              <w:rPr>
                <w:rFonts w:ascii="Helvetica" w:hAnsi="Helvetica" w:cs="Helvetica" w:eastAsia="Helvetica"/>
                <w:color w:val="C00000"/>
                <w:sz w:val="19"/>
              </w:rPr>
              <w:t xml:space="preserve">●</w:t>
            </w:r>
            <w:r>
              <w:rPr>
                <w:rFonts w:ascii="Helvetica" w:hAnsi="Helvetica" w:cs="Helvetica" w:eastAsia="Helvetica"/>
                <w:sz w:val="19"/>
              </w:rPr>
              <w:t xml:space="preserve"> </w:t>
            </w:r>
            <w:r>
              <w:rPr>
                <w:rFonts w:ascii="Helvetica" w:hAnsi="Helvetica" w:cs="Helvetica" w:eastAsia="Helvetica"/>
                <w:b/>
                <w:sz w:val="19"/>
              </w:rPr>
              <w:t>P1</w:t>
            </w:r>
            <w:r>
              <w:rPr>
                <w:rFonts w:ascii="Helvetica" w:hAnsi="Helvetica" w:cs="Helvetica" w:eastAsia="Helvetica"/>
                <w:sz w:val="19"/>
              </w:rPr>
              <w:t>.   Responsable : Direction générale, service informatique.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54 et 241. Risque R9 de la cartographie.</w:t>
            </w:r>
          </w:p>
        </w:tc>
      </w:tr>
    </w:tbl>
    <w:p/>
    <w:p>
      <w:pPr>
        <w:pStyle w:val="Heading3"/>
      </w:pPr>
      <w:r>
        <w:t>Constat 27 : Les fichiers de cotisations ne sont pas rapprochés</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Le fichier envoyé chaque mois à la Solde n'est pas comparé au fichier retour, et aucun fichier envoyé n'a été transmis sur la période de 80 mois.</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Ce rapprochement est le seul moyen de savoir si chaque cotisation demandée a bien été prélevée et reversée.</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Sans ce contrôle, une cotisation non prélevée ou un écart de montant peut passer inaperçu pendant des mois.</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Votre cotisation doit être vérifiée chaque mois entre ce qui est demandé et ce qui est reçu.</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Rapprocher chaque mois le fichier envoyé et le fichier retour, avec un état des rejets signé.</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Moyenne</w:t>
            </w:r>
            <w:r>
              <w:rPr>
                <w:rFonts w:ascii="Helvetica" w:hAnsi="Helvetica" w:cs="Helvetica" w:eastAsia="Helvetica"/>
                <w:sz w:val="19"/>
              </w:rPr>
              <w:t xml:space="preserve">.   Priorité : </w:t>
            </w:r>
            <w:r>
              <w:rPr>
                <w:rFonts w:ascii="Helvetica" w:hAnsi="Helvetica" w:cs="Helvetica" w:eastAsia="Helvetica"/>
                <w:color w:val="ED7D31"/>
                <w:sz w:val="19"/>
              </w:rPr>
              <w:t xml:space="preserve">●</w:t>
            </w:r>
            <w:r>
              <w:rPr>
                <w:rFonts w:ascii="Helvetica" w:hAnsi="Helvetica" w:cs="Helvetica" w:eastAsia="Helvetica"/>
                <w:sz w:val="19"/>
              </w:rPr>
              <w:t xml:space="preserve"> </w:t>
            </w:r>
            <w:r>
              <w:rPr>
                <w:rFonts w:ascii="Helvetica" w:hAnsi="Helvetica" w:cs="Helvetica" w:eastAsia="Helvetica"/>
                <w:b/>
                <w:sz w:val="19"/>
              </w:rPr>
              <w:t>P2</w:t>
            </w:r>
            <w:r>
              <w:rPr>
                <w:rFonts w:ascii="Helvetica" w:hAnsi="Helvetica" w:cs="Helvetica" w:eastAsia="Helvetica"/>
                <w:sz w:val="19"/>
              </w:rPr>
              <w:t>.   Responsable : Responsable des cotisations.</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35 à 38 et 51.</w:t>
            </w:r>
          </w:p>
        </w:tc>
      </w:tr>
    </w:tbl>
    <w:p/>
    <w:p>
      <w:pPr>
        <w:pStyle w:val="Heading3"/>
      </w:pPr>
      <w:r>
        <w:t>Constat 28 : Deux versions des comptes 2023 existent</w:t>
      </w:r>
    </w:p>
    <w:tbl>
      <w:tblPr>
        <w:tblW w:type="auto" w:w="0"/>
        <w:jc w:val="center"/>
        <w:tblBorders>
          <w:top w:val="single" w:sz="4" w:color="BBBCBC"/>
          <w:left w:val="single" w:sz="4" w:color="BBBCBC"/>
          <w:bottom w:val="single" w:sz="4" w:color="BBBCBC"/>
          <w:right w:val="single" w:sz="4" w:color="BBBCBC"/>
          <w:insideH w:val="single" w:sz="4" w:color="BBBCBC"/>
          <w:insideV w:val="single" w:sz="4" w:color="BBBCBC"/>
        </w:tblBorders>
        <w:tblLook w:firstColumn="1" w:firstRow="1" w:lastColumn="0" w:lastRow="0" w:noHBand="0" w:noVBand="1" w:val="04A0"/>
        <w:tblLayout w:type="fixed"/>
      </w:tblPr>
      <w:tblGrid>
        <w:gridCol w:w="2494"/>
        <w:gridCol w:w="7937"/>
      </w:tblGrid>
      <w:tr>
        <w:tc>
          <w:tcPr>
            <w:tcW w:type="dxa" w:w="2494"/>
            <w:shd w:val="clear" w:color="auto" w:fill="F2F2F2"/>
          </w:tcPr>
          <w:p>
            <w:pPr>
              <w:spacing w:after="40" w:before="40" w:line="252" w:lineRule="auto"/>
            </w:pPr>
            <w:r>
              <w:rPr>
                <w:rFonts w:ascii="Helvetica" w:hAnsi="Helvetica" w:cs="Helvetica" w:eastAsia="Helvetica"/>
                <w:b/>
                <w:sz w:val="19"/>
              </w:rPr>
              <w:t>Ce qui a été constaté</w:t>
            </w:r>
          </w:p>
        </w:tc>
        <w:tc>
          <w:tcPr>
            <w:tcW w:type="dxa" w:w="7937"/>
          </w:tcPr>
          <w:p>
            <w:pPr>
              <w:spacing w:after="40" w:before="40" w:line="252" w:lineRule="auto"/>
            </w:pPr>
            <w:r>
              <w:rPr>
                <w:rFonts w:ascii="Helvetica" w:hAnsi="Helvetica" w:cs="Helvetica" w:eastAsia="Helvetica"/>
                <w:sz w:val="19"/>
              </w:rPr>
              <w:t>Les états financiers concordent avec les balances 5 années sur 7. En 2023, les états financiers scannés portent un excédent de 928 699 102 FCFA, contre 930 629 102 FCFA dans la balance et le rapport de gestion corrigé.</w:t>
            </w:r>
          </w:p>
        </w:tc>
      </w:tr>
      <w:tr>
        <w:tc>
          <w:tcPr>
            <w:tcW w:type="dxa" w:w="2494"/>
            <w:shd w:val="clear" w:color="auto" w:fill="F2F2F2"/>
          </w:tcPr>
          <w:p>
            <w:pPr>
              <w:spacing w:after="40" w:before="40" w:line="252" w:lineRule="auto"/>
            </w:pPr>
            <w:r>
              <w:rPr>
                <w:rFonts w:ascii="Helvetica" w:hAnsi="Helvetica" w:cs="Helvetica" w:eastAsia="Helvetica"/>
                <w:b/>
                <w:sz w:val="19"/>
              </w:rPr>
              <w:t>Pourquoi c'est important</w:t>
            </w:r>
          </w:p>
        </w:tc>
        <w:tc>
          <w:tcPr>
            <w:tcW w:type="dxa" w:w="7937"/>
          </w:tcPr>
          <w:p>
            <w:pPr>
              <w:spacing w:after="40" w:before="40" w:line="252" w:lineRule="auto"/>
            </w:pPr>
            <w:r>
              <w:rPr>
                <w:rFonts w:ascii="Helvetica" w:hAnsi="Helvetica" w:cs="Helvetica" w:eastAsia="Helvetica"/>
                <w:sz w:val="19"/>
              </w:rPr>
              <w:t>Les comptes approuvés par l'Assemblée générale doivent être uniques.</w:t>
            </w:r>
          </w:p>
        </w:tc>
      </w:tr>
      <w:tr>
        <w:tc>
          <w:tcPr>
            <w:tcW w:type="dxa" w:w="2494"/>
            <w:shd w:val="clear" w:color="auto" w:fill="F2F2F2"/>
          </w:tcPr>
          <w:p>
            <w:pPr>
              <w:spacing w:after="40" w:before="40" w:line="252" w:lineRule="auto"/>
            </w:pPr>
            <w:r>
              <w:rPr>
                <w:rFonts w:ascii="Helvetica" w:hAnsi="Helvetica" w:cs="Helvetica" w:eastAsia="Helvetica"/>
                <w:b/>
                <w:sz w:val="19"/>
              </w:rPr>
              <w:t>Commentaire</w:t>
            </w:r>
          </w:p>
        </w:tc>
        <w:tc>
          <w:tcPr>
            <w:tcW w:type="dxa" w:w="7937"/>
          </w:tcPr>
          <w:p>
            <w:pPr>
              <w:spacing w:after="40" w:before="40" w:line="252" w:lineRule="auto"/>
            </w:pPr>
            <w:r>
              <w:rPr>
                <w:rFonts w:ascii="Helvetica" w:hAnsi="Helvetica" w:cs="Helvetica" w:eastAsia="Helvetica"/>
                <w:sz w:val="19"/>
              </w:rPr>
              <w:t>L'écart est faible. Il s'agit sans doute d'une version antérieure, mais la version approuvée doit être confirmée.</w:t>
            </w:r>
          </w:p>
        </w:tc>
      </w:tr>
      <w:tr>
        <w:tc>
          <w:tcPr>
            <w:tcW w:type="dxa" w:w="2494"/>
            <w:shd w:val="clear" w:color="auto" w:fill="F2F2F2"/>
          </w:tcPr>
          <w:p>
            <w:pPr>
              <w:spacing w:after="40" w:before="40" w:line="252" w:lineRule="auto"/>
            </w:pPr>
            <w:r>
              <w:rPr>
                <w:rFonts w:ascii="Helvetica" w:hAnsi="Helvetica" w:cs="Helvetica" w:eastAsia="Helvetica"/>
                <w:b/>
                <w:sz w:val="19"/>
              </w:rPr>
              <w:t>Ce que cela veut dire pour vous</w:t>
            </w:r>
          </w:p>
        </w:tc>
        <w:tc>
          <w:tcPr>
            <w:tcW w:type="dxa" w:w="7937"/>
            <w:shd w:val="clear" w:color="auto" w:fill="FBE5C8"/>
          </w:tcPr>
          <w:p>
            <w:pPr>
              <w:spacing w:after="40" w:before="40" w:line="252" w:lineRule="auto"/>
            </w:pPr>
            <w:r>
              <w:rPr>
                <w:rFonts w:ascii="Helvetica" w:hAnsi="Helvetica" w:cs="Helvetica" w:eastAsia="Helvetica"/>
                <w:b/>
                <w:sz w:val="19"/>
              </w:rPr>
              <w:t>Les comptes présentés aux adhérents doivent être une seule et même version.</w:t>
            </w:r>
          </w:p>
        </w:tc>
      </w:tr>
      <w:tr>
        <w:tc>
          <w:tcPr>
            <w:tcW w:type="dxa" w:w="2494"/>
            <w:shd w:val="clear" w:color="auto" w:fill="F2F2F2"/>
          </w:tcPr>
          <w:p>
            <w:pPr>
              <w:spacing w:after="40" w:before="40" w:line="252" w:lineRule="auto"/>
            </w:pPr>
            <w:r>
              <w:rPr>
                <w:rFonts w:ascii="Helvetica" w:hAnsi="Helvetica" w:cs="Helvetica" w:eastAsia="Helvetica"/>
                <w:b/>
                <w:sz w:val="19"/>
              </w:rPr>
              <w:t>Plan d'actions</w:t>
            </w:r>
          </w:p>
        </w:tc>
        <w:tc>
          <w:tcPr>
            <w:tcW w:type="dxa" w:w="7937"/>
          </w:tcPr>
          <w:p>
            <w:pPr>
              <w:spacing w:after="40" w:before="40" w:line="252" w:lineRule="auto"/>
            </w:pPr>
            <w:r>
              <w:rPr>
                <w:rFonts w:ascii="Helvetica" w:hAnsi="Helvetica" w:cs="Helvetica" w:eastAsia="Helvetica"/>
                <w:sz w:val="19"/>
              </w:rPr>
              <w:t>• Transmettre la version des comptes 2023 approuvée par l'Assemblée générale.</w:t>
            </w:r>
          </w:p>
        </w:tc>
      </w:tr>
      <w:tr>
        <w:tc>
          <w:tcPr>
            <w:tcW w:type="dxa" w:w="2494"/>
            <w:shd w:val="clear" w:color="auto" w:fill="F2F2F2"/>
          </w:tcPr>
          <w:p>
            <w:pPr>
              <w:spacing w:after="40" w:before="40" w:line="252" w:lineRule="auto"/>
            </w:pPr>
            <w:r>
              <w:rPr>
                <w:rFonts w:ascii="Helvetica" w:hAnsi="Helvetica" w:cs="Helvetica" w:eastAsia="Helvetica"/>
                <w:b/>
                <w:sz w:val="19"/>
              </w:rPr>
              <w:t>Classement</w:t>
            </w:r>
          </w:p>
        </w:tc>
        <w:tc>
          <w:tcPr>
            <w:tcW w:type="dxa" w:w="7937"/>
          </w:tcPr>
          <w:p>
            <w:pPr>
              <w:spacing w:after="40" w:before="40" w:line="252" w:lineRule="auto"/>
            </w:pPr>
            <w:r>
              <w:rPr>
                <w:rFonts w:ascii="Helvetica" w:hAnsi="Helvetica" w:cs="Helvetica" w:eastAsia="Helvetica"/>
                <w:sz w:val="19"/>
              </w:rPr>
              <w:t xml:space="preserve">Complexité : </w:t>
            </w:r>
            <w:r>
              <w:rPr>
                <w:rFonts w:ascii="Helvetica" w:hAnsi="Helvetica" w:cs="Helvetica" w:eastAsia="Helvetica"/>
                <w:b/>
                <w:sz w:val="19"/>
              </w:rPr>
              <w:t>Faible</w:t>
            </w:r>
            <w:r>
              <w:rPr>
                <w:rFonts w:ascii="Helvetica" w:hAnsi="Helvetica" w:cs="Helvetica" w:eastAsia="Helvetica"/>
                <w:sz w:val="19"/>
              </w:rPr>
              <w:t xml:space="preserve">.   Priorité : </w:t>
            </w:r>
            <w:r>
              <w:rPr>
                <w:rFonts w:ascii="Helvetica" w:hAnsi="Helvetica" w:cs="Helvetica" w:eastAsia="Helvetica"/>
                <w:color w:val="FFC000"/>
                <w:sz w:val="19"/>
              </w:rPr>
              <w:t xml:space="preserve">●</w:t>
            </w:r>
            <w:r>
              <w:rPr>
                <w:rFonts w:ascii="Helvetica" w:hAnsi="Helvetica" w:cs="Helvetica" w:eastAsia="Helvetica"/>
                <w:sz w:val="19"/>
              </w:rPr>
              <w:t xml:space="preserve"> </w:t>
            </w:r>
            <w:r>
              <w:rPr>
                <w:rFonts w:ascii="Helvetica" w:hAnsi="Helvetica" w:cs="Helvetica" w:eastAsia="Helvetica"/>
                <w:b/>
                <w:sz w:val="19"/>
              </w:rPr>
              <w:t>P3</w:t>
            </w:r>
            <w:r>
              <w:rPr>
                <w:rFonts w:ascii="Helvetica" w:hAnsi="Helvetica" w:cs="Helvetica" w:eastAsia="Helvetica"/>
                <w:sz w:val="19"/>
              </w:rPr>
              <w:t>.   Responsable : Service comptable.</w:t>
            </w:r>
          </w:p>
        </w:tc>
      </w:tr>
      <w:tr>
        <w:tc>
          <w:tcPr>
            <w:tcW w:type="dxa" w:w="2494"/>
            <w:shd w:val="clear" w:color="auto" w:fill="F2F2F2"/>
          </w:tcPr>
          <w:p>
            <w:pPr>
              <w:spacing w:after="40" w:before="40" w:line="252" w:lineRule="auto"/>
            </w:pPr>
            <w:r>
              <w:rPr>
                <w:rFonts w:ascii="Helvetica" w:hAnsi="Helvetica" w:cs="Helvetica" w:eastAsia="Helvetica"/>
                <w:b/>
                <w:sz w:val="19"/>
              </w:rPr>
              <w:t>Pour aller plus loin</w:t>
            </w:r>
          </w:p>
        </w:tc>
        <w:tc>
          <w:tcPr>
            <w:tcW w:type="dxa" w:w="7937"/>
          </w:tcPr>
          <w:p>
            <w:pPr>
              <w:spacing w:after="40" w:before="40" w:line="252" w:lineRule="auto"/>
            </w:pPr>
            <w:r>
              <w:rPr>
                <w:rFonts w:ascii="Helvetica" w:hAnsi="Helvetica" w:cs="Helvetica" w:eastAsia="Helvetica"/>
                <w:sz w:val="19"/>
              </w:rPr>
              <w:t>Rapport du 23/10/2026, diapositives 56.</w:t>
            </w:r>
          </w:p>
        </w:tc>
      </w:tr>
    </w:tbl>
    <w:p/>
    <w:p w14:paraId="1CB0F08F" w14:textId="77777777" w:rsidR="006F0CB0" w:rsidRDefault="006F0CB0" w:rsidP="006F0CB0">
      <w:pPr>
        <w:pStyle w:val="Heading1"/>
        <w:spacing w:before="100" w:after="100"/>
        <w:sectPr w:rsidR="006F0CB0" w:rsidSect="00A24B2D">
          <w:pgSz w:w="11906" w:h="16838"/>
          <w:pgMar w:top="720" w:right="720" w:bottom="720" w:left="720" w:header="708" w:footer="708" w:gutter="0"/>
          <w:cols w:space="708"/>
          <w:docGrid w:linePitch="360"/>
        </w:sectPr>
      </w:pPr>
    </w:p>
    <w:p w14:paraId="3E26D7F2" w14:textId="337516F2" w:rsidR="00DD04E3" w:rsidRDefault="003A63CB" w:rsidP="00726C7B">
      <w:r>
        <w:rPr>
          <w:noProof/>
        </w:rPr>
        <mc:AlternateContent>
          <mc:Choice Requires="wps">
            <w:drawing>
              <wp:anchor distT="0" distB="0" distL="114300" distR="114300" simplePos="0" relativeHeight="251658274" behindDoc="0" locked="0" layoutInCell="1" allowOverlap="1" wp14:anchorId="0240CFDF" wp14:editId="1EA7B570">
                <wp:simplePos x="0" y="0"/>
                <wp:positionH relativeFrom="margin">
                  <wp:align>center</wp:align>
                </wp:positionH>
                <wp:positionV relativeFrom="paragraph">
                  <wp:posOffset>-1962785</wp:posOffset>
                </wp:positionV>
                <wp:extent cx="4320000" cy="7010400"/>
                <wp:effectExtent l="0" t="0" r="0" b="0"/>
                <wp:wrapNone/>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320000" cy="7010400"/>
                        </a:xfrm>
                        <a:prstGeom prst="roundRect">
                          <a:avLst>
                            <a:gd name="adj" fmla="val 21502"/>
                          </a:avLst>
                        </a:prstGeom>
                        <a:noFill/>
                      </wps:spPr>
                      <wps:txb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4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LA CARTOGRAPHIE DES RISQUES</w:t>
                            </w:r>
                          </w:p>
                        </w:txbxContent>
                      </wps:txbx>
                      <wps:bodyPr rot="0" vert="horz" wrap="square" lIns="91440" tIns="45720" rIns="91440" bIns="45720" anchor="ctr" anchorCtr="0" upright="1">
                        <a:noAutofit/>
                      </wps:bodyPr>
                    </wps:wsp>
                  </a:graphicData>
                </a:graphic>
              </wp:anchor>
            </w:drawing>
          </mc:Choice>
          <mc:Fallback>
            <w:pict>
              <v:roundrect w14:anchorId="0240CFDF" id="Forme automatique 2" o:spid="_x0000_s1033" style="position:absolute;left:0;text-align:left;margin-left:0;margin-top:-154.55pt;width:133.2pt;height:552pt;rotation:90;z-index:251658274;visibility:visible;mso-wrap-style:square;mso-wrap-distance-left:9pt;mso-wrap-distance-top:0;mso-wrap-distance-right:9pt;mso-wrap-distance-bottom:0;mso-position-horizontal:center;mso-position-horizontal-relative:margin;mso-position-vertical:absolute;mso-position-vertical-relative:text;v-text-anchor:middle" arcsize="140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" filled="f" stroked="f">
                <v:textbo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4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LA CARTOGRAPHIE DES RISQUES</w:t>
                      </w:r>
                    </w:p>
                  </w:txbxContent>
                </v:textbox>
                <w10:wrap type="square" anchorx="margin"/>
              </v:roundrect>
            </w:pict>
          </mc:Fallback>
        </mc:AlternateContent>
      </w:r>
      <w:r w:rsidR="00926010">
        <w:rPr>
          <w:noProof/>
          <w14:ligatures w14:val="standardContextual"/>
        </w:rPr>
        <mc:AlternateContent>
          <mc:Choice Requires="wps">
            <w:drawing>
              <wp:anchor distT="0" distB="0" distL="114300" distR="114300" simplePos="0" relativeHeight="251658242" behindDoc="0" locked="0" layoutInCell="1" allowOverlap="1" wp14:anchorId="140E49DA" wp14:editId="17A22642">
                <wp:simplePos x="0" y="0"/>
                <wp:positionH relativeFrom="column">
                  <wp:posOffset>-480060</wp:posOffset>
                </wp:positionH>
                <wp:positionV relativeFrom="paragraph">
                  <wp:posOffset>-510540</wp:posOffset>
                </wp:positionV>
                <wp:extent cx="7574280" cy="10751820"/>
                <wp:effectExtent l="0" t="0" r="26670" b="11430"/>
                <wp:wrapNone/>
                <wp:docPr id="613672107" name="Rectangle 10"/>
                <wp:cNvGraphicFramePr/>
                <a:graphic xmlns:a="http://schemas.openxmlformats.org/drawingml/2006/main">
                  <a:graphicData uri="http://schemas.microsoft.com/office/word/2010/wordprocessingShape">
                    <wps:wsp>
                      <wps:cNvSpPr/>
                      <wps:spPr>
                        <a:xfrm>
                          <a:off x="0" y="0"/>
                          <a:ext cx="7574280" cy="107518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E9B7977" id="Rectangle 10" o:spid="_x0000_s1026" style="position:absolute;margin-left:-37.8pt;margin-top:-40.2pt;width:596.4pt;height:846.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" fillcolor="black [3200]" strokecolor="black [480]" strokeweight="1.5pt"/>
            </w:pict>
          </mc:Fallback>
        </mc:AlternateContent>
      </w:r>
    </w:p>
    <w:p w14:paraId="29A5A8FC" w14:textId="0772451F" w:rsidR="00DD04E3" w:rsidRPr="00DD04E3" w:rsidRDefault="00DD04E3" w:rsidP="00DD04E3"/>
    <w:p w14:paraId="54310350" w14:textId="03E1B19F" w:rsidR="00DD04E3" w:rsidRPr="00DD04E3" w:rsidRDefault="00DD04E3" w:rsidP="00DD04E3"/>
    <w:p w14:paraId="2C2F6B9F" w14:textId="505262C9" w:rsidR="00DD04E3" w:rsidRPr="00DD04E3" w:rsidRDefault="003837AF" w:rsidP="00DD04E3">
      <w:r w:rsidRPr="00AA366B">
        <w:rPr>
          <w:noProof/>
        </w:rPr>
        <w:drawing>
          <wp:anchor distT="0" distB="0" distL="114300" distR="114300" simplePos="0" relativeHeight="251658267" behindDoc="0" locked="0" layoutInCell="1" allowOverlap="1" wp14:anchorId="2ADCBFCC" wp14:editId="1EA4A307">
            <wp:simplePos x="0" y="0"/>
            <wp:positionH relativeFrom="page">
              <wp:align>left</wp:align>
            </wp:positionH>
            <wp:positionV relativeFrom="paragraph">
              <wp:posOffset>167282</wp:posOffset>
            </wp:positionV>
            <wp:extent cx="7548880" cy="7259894"/>
            <wp:effectExtent l="0" t="0" r="0" b="0"/>
            <wp:wrapNone/>
            <wp:docPr id="1746398683" name="Image 15">
              <a:extLst xmlns:a="http://schemas.openxmlformats.org/drawingml/2006/main">
                <a:ext uri="{FF2B5EF4-FFF2-40B4-BE49-F238E27FC236}">
                  <a16:creationId xmlns:a16="http://schemas.microsoft.com/office/drawing/2014/main" id="{C8AC2246-CCF0-4C0C-B1BE-88C1E8DADC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pic:cNvPicPr>
                      <a:picLocks noChangeAspect="1"/>
                    </pic:cNvPicPr>
                  </pic:nvPicPr>
                  <pic:blipFill rotWithShape="1">
                    <a:blip r:embed="rId13" cstate="print">
                      <a:extLst>
                        <a:ext uri="{28A0092B-C50C-407E-A947-70E740481C1C}">
                          <a14:useLocalDpi xmlns:a14="http://schemas.microsoft.com/office/drawing/2010/main" val="0"/>
                        </a:ext>
                      </a:extLst>
                    </a:blip>
                    <a:srcRect l="-175" t="524" r="-2445" b="9082"/>
                    <a:stretch/>
                  </pic:blipFill>
                  <pic:spPr>
                    <a:xfrm>
                      <a:off x="0" y="0"/>
                      <a:ext cx="7548880" cy="7259894"/>
                    </a:xfrm>
                    <a:prstGeom prst="rect">
                      <a:avLst/>
                    </a:prstGeom>
                  </pic:spPr>
                </pic:pic>
              </a:graphicData>
            </a:graphic>
            <wp14:sizeRelH relativeFrom="margin">
              <wp14:pctWidth>0</wp14:pctWidth>
            </wp14:sizeRelH>
            <wp14:sizeRelV relativeFrom="margin">
              <wp14:pctHeight>0</wp14:pctHeight>
            </wp14:sizeRelV>
          </wp:anchor>
        </w:drawing>
      </w:r>
    </w:p>
    <w:p w14:paraId="70F74645" w14:textId="6F9E7C4C" w:rsidR="00DD04E3" w:rsidRPr="00DD04E3" w:rsidRDefault="00DD04E3" w:rsidP="00DD04E3"/>
    <w:p w14:paraId="637B0362" w14:textId="253E5702" w:rsidR="00DD04E3" w:rsidRPr="00DD04E3" w:rsidRDefault="00DD04E3" w:rsidP="00DD04E3"/>
    <w:p w14:paraId="34F038D6" w14:textId="1AAD29FE" w:rsidR="00DD04E3" w:rsidRPr="00DD04E3" w:rsidRDefault="00DD04E3" w:rsidP="00DD04E3"/>
    <w:p w14:paraId="540BCDAD" w14:textId="7FFC1DA8" w:rsidR="00DD04E3" w:rsidRPr="00DD04E3" w:rsidRDefault="00DD04E3" w:rsidP="00DD04E3"/>
    <w:p w14:paraId="62A538EF" w14:textId="19AAF6CF" w:rsidR="00DD04E3" w:rsidRPr="00DD04E3" w:rsidRDefault="00DD04E3" w:rsidP="00DD04E3"/>
    <w:p w14:paraId="6B21056D" w14:textId="70B266D0" w:rsidR="00DD04E3" w:rsidRPr="00DD04E3" w:rsidRDefault="00DD04E3" w:rsidP="00DD04E3"/>
    <w:p w14:paraId="0803D8BE" w14:textId="7ACBC061" w:rsidR="00DD04E3" w:rsidRPr="00DD04E3" w:rsidRDefault="00DD04E3" w:rsidP="00DD04E3"/>
    <w:p w14:paraId="5CCF2E8E" w14:textId="426E6CC9" w:rsidR="00DD04E3" w:rsidRPr="00DD04E3" w:rsidRDefault="00DD04E3" w:rsidP="00DD04E3"/>
    <w:p w14:paraId="2C7A88BD" w14:textId="77777777" w:rsidR="00DD04E3" w:rsidRPr="00DD04E3" w:rsidRDefault="00DD04E3" w:rsidP="00DD04E3"/>
    <w:p w14:paraId="6C8AEE97" w14:textId="77777777" w:rsidR="00DD04E3" w:rsidRPr="00DD04E3" w:rsidRDefault="00DD04E3" w:rsidP="00DD04E3"/>
    <w:p w14:paraId="193F1F69" w14:textId="77777777" w:rsidR="00DD04E3" w:rsidRPr="00DD04E3" w:rsidRDefault="00DD04E3" w:rsidP="00DD04E3"/>
    <w:p w14:paraId="3E78C07D" w14:textId="77777777" w:rsidR="00DD04E3" w:rsidRPr="00DD04E3" w:rsidRDefault="00DD04E3" w:rsidP="00DD04E3"/>
    <w:p w14:paraId="1833AA50" w14:textId="463C0184" w:rsidR="00DD04E3" w:rsidRPr="00DD04E3" w:rsidRDefault="00DD04E3" w:rsidP="00DD04E3">
      <w:pPr>
        <w:tabs>
          <w:tab w:val="left" w:pos="3384"/>
        </w:tabs>
      </w:pPr>
      <w:r>
        <w:tab/>
      </w:r>
    </w:p>
    <w:p w14:paraId="1A14F53F" w14:textId="77777777" w:rsidR="00DD04E3" w:rsidRPr="00DD04E3" w:rsidRDefault="00DD04E3" w:rsidP="00DD04E3"/>
    <w:p w14:paraId="794C1888" w14:textId="77777777" w:rsidR="00DD04E3" w:rsidRPr="00DD04E3" w:rsidRDefault="00DD04E3" w:rsidP="00DD04E3"/>
    <w:p w14:paraId="3D57E509" w14:textId="77777777" w:rsidR="00DD04E3" w:rsidRPr="00DD04E3" w:rsidRDefault="00DD04E3" w:rsidP="00DD04E3"/>
    <w:p w14:paraId="75AB4326" w14:textId="77777777" w:rsidR="00DD04E3" w:rsidRPr="00DD04E3" w:rsidRDefault="00DD04E3" w:rsidP="00DD04E3"/>
    <w:p w14:paraId="242B9CEF" w14:textId="77777777" w:rsidR="00DD04E3" w:rsidRPr="00DD04E3" w:rsidRDefault="00DD04E3" w:rsidP="00DD04E3">
      <w:pPr>
        <w:sectPr w:rsidR="00DD04E3" w:rsidRPr="00DD04E3" w:rsidSect="00A24B2D">
          <w:pgSz w:w="11906" w:h="16838"/>
          <w:pgMar w:top="720" w:right="720" w:bottom="720" w:left="720" w:header="708" w:footer="708" w:gutter="0"/>
          <w:cols w:space="708"/>
          <w:docGrid w:linePitch="360"/>
        </w:sectPr>
      </w:pPr>
    </w:p>
    <w:p>
      <w:pPr>
        <w:pStyle w:val="Heading1"/>
      </w:pPr>
      <w:r>
        <w:t>PARTIE 4 : LA CARTOGRAPHIE DES RISQUES</w:t>
      </w:r>
    </w:p>
    <w:p>
      <w:pPr/>
      <w:r>
        <w:rPr>
          <w:rFonts w:ascii="Helvetica" w:hAnsi="Helvetica" w:cs="Helvetica" w:eastAsia="Helvetica"/>
          <w:color w:val="000000"/>
        </w:rPr>
        <w:t>Cette partie situe les risques du FPPN selon leur probabilité et leur gravité, puis place les actions selon leur complexité et leur priorité.</w:t>
      </w:r>
    </w:p>
    <w:p>
      <w:pPr>
        <w:pStyle w:val="Heading2"/>
      </w:pPr>
      <w:r>
        <w:t>4.1. LA MATRICE DES RISQUES</w:t>
      </w:r>
    </w:p>
    <w:p>
      <w:pPr/>
      <w:r>
        <w:rPr>
          <w:rFonts w:ascii="Helvetica" w:hAnsi="Helvetica" w:cs="Helvetica" w:eastAsia="Helvetica"/>
          <w:b/>
          <w:color w:val="000000"/>
        </w:rPr>
        <w:t>Sept risques sur dix sont dans la zone rouge, qui demande un traitement immédiat.</w:t>
      </w:r>
      <w:r>
        <w:rPr>
          <w:rFonts w:ascii="Helvetica" w:hAnsi="Helvetica" w:cs="Helvetica" w:eastAsia="Helvetica"/>
          <w:color w:val="000000"/>
        </w:rPr>
        <w:t xml:space="preserve"> Chaque risque est noté de 1 à 5 en probabilité (5 : déjà constaté dans les comptes) et de 1 à 5 en gravité selon son impact en FCFA. Le score est le produit des deux notes.</w:t>
      </w:r>
    </w:p>
    <w:p>
      <w:pPr>
        <w:pStyle w:val="Caption"/>
        <w:keepNext/>
        <w:jc w:val="left"/>
      </w:pPr>
      <w:r>
        <w:rPr>
          <w:rFonts w:ascii="Helvetica" w:hAnsi="Helvetica" w:cs="Helvetica" w:eastAsia="Helvetica"/>
          <w:b/>
          <w:color w:val="000000"/>
          <w:sz w:val="20"/>
        </w:rPr>
        <w:t xml:space="preserve">Figure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Figure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7</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Matrice des risques : probabilité et gravité</w:t>
      </w:r>
    </w:p>
    <w:tbl>
      <w:tblPr>
        <w:tblW w:type="auto" w:w="0"/>
        <w:jc w:val="center"/>
        <w:tblBorders>
          <w:top w:val="single" w:sz="12" w:color="FFFFFF"/>
          <w:left w:val="single" w:sz="12" w:color="FFFFFF"/>
          <w:bottom w:val="single" w:sz="12" w:color="FFFFFF"/>
          <w:right w:val="single" w:sz="12" w:color="FFFFFF"/>
          <w:insideH w:val="single" w:sz="12" w:color="FFFFFF"/>
          <w:insideV w:val="single" w:sz="12" w:color="FFFFFF"/>
        </w:tblBorders>
        <w:tblLook w:firstColumn="1" w:firstRow="1" w:lastColumn="0" w:lastRow="0" w:noHBand="0" w:noVBand="1" w:val="04A0"/>
        <w:tblLayout w:type="fixed"/>
      </w:tblPr>
      <w:tblGrid>
        <w:gridCol w:w="2154"/>
        <w:gridCol w:w="1644"/>
        <w:gridCol w:w="1644"/>
        <w:gridCol w:w="1644"/>
        <w:gridCol w:w="1644"/>
        <w:gridCol w:w="1644"/>
      </w:tblGrid>
      <w:tr>
        <w:trPr>
          <w:trHeight w:val="624"/>
        </w:trPr>
        <w:tc>
          <w:tcPr>
            <w:tcW w:type="dxa" w:w="2154"/>
            <w:vAlign w:val="center"/>
            <w:shd w:val="clear" w:color="auto" w:fill="060606"/>
          </w:tcPr>
          <w:p>
            <w:pPr>
              <w:spacing w:after="40" w:before="40" w:line="252" w:lineRule="auto"/>
              <w:jc w:val="center"/>
            </w:pPr>
            <w:r>
              <w:rPr>
                <w:rFonts w:ascii="Helvetica" w:hAnsi="Helvetica" w:cs="Helvetica" w:eastAsia="Helvetica"/>
                <w:b/>
                <w:color w:val="FFFFFF"/>
                <w:sz w:val="18"/>
              </w:rPr>
              <w:t>Probabilité \ Gravité</w:t>
            </w:r>
          </w:p>
        </w:tc>
        <w:tc>
          <w:tcPr>
            <w:tcW w:type="dxa" w:w="1644"/>
            <w:vAlign w:val="center"/>
            <w:shd w:val="clear" w:color="auto" w:fill="060606"/>
          </w:tcPr>
          <w:p>
            <w:pPr>
              <w:spacing w:after="40" w:before="40" w:line="252" w:lineRule="auto"/>
              <w:jc w:val="center"/>
            </w:pPr>
            <w:r>
              <w:rPr>
                <w:rFonts w:ascii="Helvetica" w:hAnsi="Helvetica" w:cs="Helvetica" w:eastAsia="Helvetica"/>
                <w:b/>
                <w:color w:val="FFFFFF"/>
                <w:sz w:val="18"/>
              </w:rPr>
              <w:t>1 Négligeable</w:t>
            </w:r>
          </w:p>
        </w:tc>
        <w:tc>
          <w:tcPr>
            <w:tcW w:type="dxa" w:w="1644"/>
            <w:vAlign w:val="center"/>
            <w:shd w:val="clear" w:color="auto" w:fill="060606"/>
          </w:tcPr>
          <w:p>
            <w:pPr>
              <w:spacing w:after="40" w:before="40" w:line="252" w:lineRule="auto"/>
              <w:jc w:val="center"/>
            </w:pPr>
            <w:r>
              <w:rPr>
                <w:rFonts w:ascii="Helvetica" w:hAnsi="Helvetica" w:cs="Helvetica" w:eastAsia="Helvetica"/>
                <w:b/>
                <w:color w:val="FFFFFF"/>
                <w:sz w:val="18"/>
              </w:rPr>
              <w:t>2 Mineure</w:t>
            </w:r>
          </w:p>
        </w:tc>
        <w:tc>
          <w:tcPr>
            <w:tcW w:type="dxa" w:w="1644"/>
            <w:vAlign w:val="center"/>
            <w:shd w:val="clear" w:color="auto" w:fill="060606"/>
          </w:tcPr>
          <w:p>
            <w:pPr>
              <w:spacing w:after="40" w:before="40" w:line="252" w:lineRule="auto"/>
              <w:jc w:val="center"/>
            </w:pPr>
            <w:r>
              <w:rPr>
                <w:rFonts w:ascii="Helvetica" w:hAnsi="Helvetica" w:cs="Helvetica" w:eastAsia="Helvetica"/>
                <w:b/>
                <w:color w:val="FFFFFF"/>
                <w:sz w:val="18"/>
              </w:rPr>
              <w:t>3 Modérée</w:t>
            </w:r>
          </w:p>
        </w:tc>
        <w:tc>
          <w:tcPr>
            <w:tcW w:type="dxa" w:w="1644"/>
            <w:vAlign w:val="center"/>
            <w:shd w:val="clear" w:color="auto" w:fill="060606"/>
          </w:tcPr>
          <w:p>
            <w:pPr>
              <w:spacing w:after="40" w:before="40" w:line="252" w:lineRule="auto"/>
              <w:jc w:val="center"/>
            </w:pPr>
            <w:r>
              <w:rPr>
                <w:rFonts w:ascii="Helvetica" w:hAnsi="Helvetica" w:cs="Helvetica" w:eastAsia="Helvetica"/>
                <w:b/>
                <w:color w:val="FFFFFF"/>
                <w:sz w:val="18"/>
              </w:rPr>
              <w:t>4 Majeure</w:t>
            </w:r>
          </w:p>
        </w:tc>
        <w:tc>
          <w:tcPr>
            <w:tcW w:type="dxa" w:w="1644"/>
            <w:vAlign w:val="center"/>
            <w:shd w:val="clear" w:color="auto" w:fill="060606"/>
          </w:tcPr>
          <w:p>
            <w:pPr>
              <w:spacing w:after="40" w:before="40" w:line="252" w:lineRule="auto"/>
              <w:jc w:val="center"/>
            </w:pPr>
            <w:r>
              <w:rPr>
                <w:rFonts w:ascii="Helvetica" w:hAnsi="Helvetica" w:cs="Helvetica" w:eastAsia="Helvetica"/>
                <w:b/>
                <w:color w:val="FFFFFF"/>
                <w:sz w:val="18"/>
              </w:rPr>
              <w:t>5 Catastrophique</w:t>
            </w:r>
          </w:p>
        </w:tc>
      </w:tr>
      <w:tr>
        <w:trPr>
          <w:trHeight w:val="624"/>
        </w:trPr>
        <w:tc>
          <w:tcPr>
            <w:tcW w:type="dxa" w:w="2154"/>
            <w:vAlign w:val="center"/>
            <w:shd w:val="clear" w:color="auto" w:fill="F2F2F2"/>
          </w:tcPr>
          <w:p>
            <w:pPr>
              <w:spacing w:after="40" w:before="40" w:line="252" w:lineRule="auto"/>
              <w:jc w:val="center"/>
            </w:pPr>
            <w:r>
              <w:rPr>
                <w:rFonts w:ascii="Helvetica" w:hAnsi="Helvetica" w:cs="Helvetica" w:eastAsia="Helvetica"/>
                <w:b/>
                <w:sz w:val="18"/>
              </w:rPr>
              <w:t>5 Très probable (constaté)</w:t>
            </w:r>
          </w:p>
        </w:tc>
        <w:tc>
          <w:tcPr>
            <w:tcW w:type="dxa" w:w="1644"/>
            <w:vAlign w:val="center"/>
            <w:shd w:val="clear" w:color="auto" w:fill="93C47D"/>
          </w:tcPr>
          <w:p>
            <w:pPr>
              <w:spacing w:after="40" w:before="40" w:line="252" w:lineRule="auto"/>
              <w:jc w:val="center"/>
            </w:pPr>
            <w:r>
              <w:rPr>
                <w:rFonts w:ascii="Helvetica" w:hAnsi="Helvetica" w:cs="Helvetica" w:eastAsia="Helvetica"/>
                <w:sz w:val="18"/>
              </w:rPr>
              <w:t>R7</w:t>
            </w:r>
          </w:p>
        </w:tc>
        <w:tc>
          <w:tcPr>
            <w:tcW w:type="dxa" w:w="1644"/>
            <w:vAlign w:val="center"/>
            <w:shd w:val="clear" w:color="auto" w:fill="FFD966"/>
          </w:tcPr>
          <w:p>
            <w:pPr>
              <w:spacing w:after="40" w:before="40" w:line="252" w:lineRule="auto"/>
              <w:jc w:val="center"/>
            </w:pPr>
            <w:r>
              <w:rPr>
                <w:rFonts w:ascii="Helvetica" w:hAnsi="Helvetica" w:cs="Helvetica" w:eastAsia="Helvetica"/>
                <w:sz w:val="18"/>
              </w:rPr>
              <w:t>R8</w:t>
            </w:r>
          </w:p>
        </w:tc>
        <w:tc>
          <w:tcPr>
            <w:tcW w:type="dxa" w:w="1644"/>
            <w:vAlign w:val="center"/>
            <w:shd w:val="clear" w:color="auto" w:fill="E06666"/>
          </w:tcPr>
          <w:p>
            <w:pPr>
              <w:spacing w:after="40" w:before="40" w:line="252" w:lineRule="auto"/>
              <w:jc w:val="center"/>
            </w:pPr>
            <w:r>
              <w:rPr>
                <w:rFonts w:ascii="Helvetica" w:hAnsi="Helvetica" w:cs="Helvetica" w:eastAsia="Helvetica"/>
                <w:sz w:val="18"/>
              </w:rPr>
              <w:t>R5, R6, R9</w:t>
            </w:r>
          </w:p>
        </w:tc>
        <w:tc>
          <w:tcPr>
            <w:tcW w:type="dxa" w:w="1644"/>
            <w:vAlign w:val="center"/>
            <w:shd w:val="clear" w:color="auto" w:fill="E06666"/>
          </w:tcPr>
          <w:p>
            <w:pPr>
              <w:spacing w:after="40" w:before="40" w:line="252" w:lineRule="auto"/>
              <w:jc w:val="center"/>
            </w:pPr>
            <w:r>
              <w:rPr>
                <w:rFonts w:ascii="Helvetica" w:hAnsi="Helvetica" w:cs="Helvetica" w:eastAsia="Helvetica"/>
                <w:sz w:val="18"/>
              </w:rPr>
              <w:t>R3, R4</w:t>
            </w:r>
          </w:p>
        </w:tc>
        <w:tc>
          <w:tcPr>
            <w:tcW w:type="dxa" w:w="1644"/>
            <w:vAlign w:val="center"/>
            <w:shd w:val="clear" w:color="auto" w:fill="E06666"/>
          </w:tcPr>
          <w:p>
            <w:pPr>
              <w:spacing w:after="40" w:before="40" w:line="252" w:lineRule="auto"/>
              <w:jc w:val="center"/>
            </w:pPr>
          </w:p>
        </w:tc>
      </w:tr>
      <w:tr>
        <w:trPr>
          <w:trHeight w:val="624"/>
        </w:trPr>
        <w:tc>
          <w:tcPr>
            <w:tcW w:type="dxa" w:w="2154"/>
            <w:vAlign w:val="center"/>
            <w:shd w:val="clear" w:color="auto" w:fill="F2F2F2"/>
          </w:tcPr>
          <w:p>
            <w:pPr>
              <w:spacing w:after="40" w:before="40" w:line="252" w:lineRule="auto"/>
              <w:jc w:val="center"/>
            </w:pPr>
            <w:r>
              <w:rPr>
                <w:rFonts w:ascii="Helvetica" w:hAnsi="Helvetica" w:cs="Helvetica" w:eastAsia="Helvetica"/>
                <w:b/>
                <w:sz w:val="18"/>
              </w:rPr>
              <w:t>4 Probable</w:t>
            </w:r>
          </w:p>
        </w:tc>
        <w:tc>
          <w:tcPr>
            <w:tcW w:type="dxa" w:w="1644"/>
            <w:vAlign w:val="center"/>
            <w:shd w:val="clear" w:color="auto" w:fill="93C47D"/>
          </w:tcPr>
          <w:p>
            <w:pPr>
              <w:spacing w:after="40" w:before="40" w:line="252" w:lineRule="auto"/>
              <w:jc w:val="center"/>
            </w:pPr>
          </w:p>
        </w:tc>
        <w:tc>
          <w:tcPr>
            <w:tcW w:type="dxa" w:w="1644"/>
            <w:vAlign w:val="center"/>
            <w:shd w:val="clear" w:color="auto" w:fill="FFD966"/>
          </w:tcPr>
          <w:p>
            <w:pPr>
              <w:spacing w:after="40" w:before="40" w:line="252" w:lineRule="auto"/>
              <w:jc w:val="center"/>
            </w:pPr>
          </w:p>
        </w:tc>
        <w:tc>
          <w:tcPr>
            <w:tcW w:type="dxa" w:w="1644"/>
            <w:vAlign w:val="center"/>
            <w:shd w:val="clear" w:color="auto" w:fill="FFD966"/>
          </w:tcPr>
          <w:p>
            <w:pPr>
              <w:spacing w:after="40" w:before="40" w:line="252" w:lineRule="auto"/>
              <w:jc w:val="center"/>
            </w:pPr>
            <w:r>
              <w:rPr>
                <w:rFonts w:ascii="Helvetica" w:hAnsi="Helvetica" w:cs="Helvetica" w:eastAsia="Helvetica"/>
                <w:sz w:val="18"/>
              </w:rPr>
              <w:t>R10</w:t>
            </w:r>
          </w:p>
        </w:tc>
        <w:tc>
          <w:tcPr>
            <w:tcW w:type="dxa" w:w="1644"/>
            <w:vAlign w:val="center"/>
            <w:shd w:val="clear" w:color="auto" w:fill="E06666"/>
          </w:tcPr>
          <w:p>
            <w:pPr>
              <w:spacing w:after="40" w:before="40" w:line="252" w:lineRule="auto"/>
              <w:jc w:val="center"/>
            </w:pPr>
          </w:p>
        </w:tc>
        <w:tc>
          <w:tcPr>
            <w:tcW w:type="dxa" w:w="1644"/>
            <w:vAlign w:val="center"/>
            <w:shd w:val="clear" w:color="auto" w:fill="E06666"/>
          </w:tcPr>
          <w:p>
            <w:pPr>
              <w:spacing w:after="40" w:before="40" w:line="252" w:lineRule="auto"/>
              <w:jc w:val="center"/>
            </w:pPr>
            <w:r>
              <w:rPr>
                <w:rFonts w:ascii="Helvetica" w:hAnsi="Helvetica" w:cs="Helvetica" w:eastAsia="Helvetica"/>
                <w:sz w:val="18"/>
              </w:rPr>
              <w:t>R1, R2</w:t>
            </w:r>
          </w:p>
        </w:tc>
      </w:tr>
      <w:tr>
        <w:trPr>
          <w:trHeight w:val="624"/>
        </w:trPr>
        <w:tc>
          <w:tcPr>
            <w:tcW w:type="dxa" w:w="2154"/>
            <w:vAlign w:val="center"/>
            <w:shd w:val="clear" w:color="auto" w:fill="F2F2F2"/>
          </w:tcPr>
          <w:p>
            <w:pPr>
              <w:spacing w:after="40" w:before="40" w:line="252" w:lineRule="auto"/>
              <w:jc w:val="center"/>
            </w:pPr>
            <w:r>
              <w:rPr>
                <w:rFonts w:ascii="Helvetica" w:hAnsi="Helvetica" w:cs="Helvetica" w:eastAsia="Helvetica"/>
                <w:b/>
                <w:sz w:val="18"/>
              </w:rPr>
              <w:t>3 Possible</w:t>
            </w:r>
          </w:p>
        </w:tc>
        <w:tc>
          <w:tcPr>
            <w:tcW w:type="dxa" w:w="1644"/>
            <w:vAlign w:val="center"/>
            <w:shd w:val="clear" w:color="auto" w:fill="93C47D"/>
          </w:tcPr>
          <w:p>
            <w:pPr>
              <w:spacing w:after="40" w:before="40" w:line="252" w:lineRule="auto"/>
              <w:jc w:val="center"/>
            </w:pPr>
          </w:p>
        </w:tc>
        <w:tc>
          <w:tcPr>
            <w:tcW w:type="dxa" w:w="1644"/>
            <w:vAlign w:val="center"/>
            <w:shd w:val="clear" w:color="auto" w:fill="93C47D"/>
          </w:tcPr>
          <w:p>
            <w:pPr>
              <w:spacing w:after="40" w:before="40" w:line="252" w:lineRule="auto"/>
              <w:jc w:val="center"/>
            </w:pPr>
          </w:p>
        </w:tc>
        <w:tc>
          <w:tcPr>
            <w:tcW w:type="dxa" w:w="1644"/>
            <w:vAlign w:val="center"/>
            <w:shd w:val="clear" w:color="auto" w:fill="FFD966"/>
          </w:tcPr>
          <w:p>
            <w:pPr>
              <w:spacing w:after="40" w:before="40" w:line="252" w:lineRule="auto"/>
              <w:jc w:val="center"/>
            </w:pPr>
          </w:p>
        </w:tc>
        <w:tc>
          <w:tcPr>
            <w:tcW w:type="dxa" w:w="1644"/>
            <w:vAlign w:val="center"/>
            <w:shd w:val="clear" w:color="auto" w:fill="FFD966"/>
          </w:tcPr>
          <w:p>
            <w:pPr>
              <w:spacing w:after="40" w:before="40" w:line="252" w:lineRule="auto"/>
              <w:jc w:val="center"/>
            </w:pPr>
          </w:p>
        </w:tc>
        <w:tc>
          <w:tcPr>
            <w:tcW w:type="dxa" w:w="1644"/>
            <w:vAlign w:val="center"/>
            <w:shd w:val="clear" w:color="auto" w:fill="E06666"/>
          </w:tcPr>
          <w:p>
            <w:pPr>
              <w:spacing w:after="40" w:before="40" w:line="252" w:lineRule="auto"/>
              <w:jc w:val="center"/>
            </w:pPr>
          </w:p>
        </w:tc>
      </w:tr>
      <w:tr>
        <w:trPr>
          <w:trHeight w:val="624"/>
        </w:trPr>
        <w:tc>
          <w:tcPr>
            <w:tcW w:type="dxa" w:w="2154"/>
            <w:vAlign w:val="center"/>
            <w:shd w:val="clear" w:color="auto" w:fill="F2F2F2"/>
          </w:tcPr>
          <w:p>
            <w:pPr>
              <w:spacing w:after="40" w:before="40" w:line="252" w:lineRule="auto"/>
              <w:jc w:val="center"/>
            </w:pPr>
            <w:r>
              <w:rPr>
                <w:rFonts w:ascii="Helvetica" w:hAnsi="Helvetica" w:cs="Helvetica" w:eastAsia="Helvetica"/>
                <w:b/>
                <w:sz w:val="18"/>
              </w:rPr>
              <w:t>2 Peu probable</w:t>
            </w:r>
          </w:p>
        </w:tc>
        <w:tc>
          <w:tcPr>
            <w:tcW w:type="dxa" w:w="1644"/>
            <w:vAlign w:val="center"/>
            <w:shd w:val="clear" w:color="auto" w:fill="93C47D"/>
          </w:tcPr>
          <w:p>
            <w:pPr>
              <w:spacing w:after="40" w:before="40" w:line="252" w:lineRule="auto"/>
              <w:jc w:val="center"/>
            </w:pPr>
          </w:p>
        </w:tc>
        <w:tc>
          <w:tcPr>
            <w:tcW w:type="dxa" w:w="1644"/>
            <w:vAlign w:val="center"/>
            <w:shd w:val="clear" w:color="auto" w:fill="93C47D"/>
          </w:tcPr>
          <w:p>
            <w:pPr>
              <w:spacing w:after="40" w:before="40" w:line="252" w:lineRule="auto"/>
              <w:jc w:val="center"/>
            </w:pPr>
          </w:p>
        </w:tc>
        <w:tc>
          <w:tcPr>
            <w:tcW w:type="dxa" w:w="1644"/>
            <w:vAlign w:val="center"/>
            <w:shd w:val="clear" w:color="auto" w:fill="93C47D"/>
          </w:tcPr>
          <w:p>
            <w:pPr>
              <w:spacing w:after="40" w:before="40" w:line="252" w:lineRule="auto"/>
              <w:jc w:val="center"/>
            </w:pPr>
          </w:p>
        </w:tc>
        <w:tc>
          <w:tcPr>
            <w:tcW w:type="dxa" w:w="1644"/>
            <w:vAlign w:val="center"/>
            <w:shd w:val="clear" w:color="auto" w:fill="FFD966"/>
          </w:tcPr>
          <w:p>
            <w:pPr>
              <w:spacing w:after="40" w:before="40" w:line="252" w:lineRule="auto"/>
              <w:jc w:val="center"/>
            </w:pPr>
          </w:p>
        </w:tc>
        <w:tc>
          <w:tcPr>
            <w:tcW w:type="dxa" w:w="1644"/>
            <w:vAlign w:val="center"/>
            <w:shd w:val="clear" w:color="auto" w:fill="FFD966"/>
          </w:tcPr>
          <w:p>
            <w:pPr>
              <w:spacing w:after="40" w:before="40" w:line="252" w:lineRule="auto"/>
              <w:jc w:val="center"/>
            </w:pPr>
          </w:p>
        </w:tc>
      </w:tr>
      <w:tr>
        <w:trPr>
          <w:trHeight w:val="624"/>
        </w:trPr>
        <w:tc>
          <w:tcPr>
            <w:tcW w:type="dxa" w:w="2154"/>
            <w:vAlign w:val="center"/>
            <w:shd w:val="clear" w:color="auto" w:fill="F2F2F2"/>
          </w:tcPr>
          <w:p>
            <w:pPr>
              <w:spacing w:after="40" w:before="40" w:line="252" w:lineRule="auto"/>
              <w:jc w:val="center"/>
            </w:pPr>
            <w:r>
              <w:rPr>
                <w:rFonts w:ascii="Helvetica" w:hAnsi="Helvetica" w:cs="Helvetica" w:eastAsia="Helvetica"/>
                <w:b/>
                <w:sz w:val="18"/>
              </w:rPr>
              <w:t>1 Très peu probable</w:t>
            </w:r>
          </w:p>
        </w:tc>
        <w:tc>
          <w:tcPr>
            <w:tcW w:type="dxa" w:w="1644"/>
            <w:vAlign w:val="center"/>
            <w:shd w:val="clear" w:color="auto" w:fill="93C47D"/>
          </w:tcPr>
          <w:p>
            <w:pPr>
              <w:spacing w:after="40" w:before="40" w:line="252" w:lineRule="auto"/>
              <w:jc w:val="center"/>
            </w:pPr>
          </w:p>
        </w:tc>
        <w:tc>
          <w:tcPr>
            <w:tcW w:type="dxa" w:w="1644"/>
            <w:vAlign w:val="center"/>
            <w:shd w:val="clear" w:color="auto" w:fill="93C47D"/>
          </w:tcPr>
          <w:p>
            <w:pPr>
              <w:spacing w:after="40" w:before="40" w:line="252" w:lineRule="auto"/>
              <w:jc w:val="center"/>
            </w:pPr>
          </w:p>
        </w:tc>
        <w:tc>
          <w:tcPr>
            <w:tcW w:type="dxa" w:w="1644"/>
            <w:vAlign w:val="center"/>
            <w:shd w:val="clear" w:color="auto" w:fill="93C47D"/>
          </w:tcPr>
          <w:p>
            <w:pPr>
              <w:spacing w:after="40" w:before="40" w:line="252" w:lineRule="auto"/>
              <w:jc w:val="center"/>
            </w:pPr>
          </w:p>
        </w:tc>
        <w:tc>
          <w:tcPr>
            <w:tcW w:type="dxa" w:w="1644"/>
            <w:vAlign w:val="center"/>
            <w:shd w:val="clear" w:color="auto" w:fill="93C47D"/>
          </w:tcPr>
          <w:p>
            <w:pPr>
              <w:spacing w:after="40" w:before="40" w:line="252" w:lineRule="auto"/>
              <w:jc w:val="center"/>
            </w:pPr>
          </w:p>
        </w:tc>
        <w:tc>
          <w:tcPr>
            <w:tcW w:type="dxa" w:w="1644"/>
            <w:vAlign w:val="center"/>
            <w:shd w:val="clear" w:color="auto" w:fill="93C47D"/>
          </w:tcPr>
          <w:p>
            <w:pPr>
              <w:spacing w:after="40" w:before="40" w:line="252" w:lineRule="auto"/>
              <w:jc w:val="center"/>
            </w:pPr>
          </w:p>
        </w:tc>
      </w:tr>
    </w:tbl>
    <w:p>
      <w:pPr>
        <w:spacing w:after="200"/>
        <w:jc w:val="left"/>
      </w:pPr>
      <w:r>
        <w:rPr>
          <w:rFonts w:ascii="Helvetica" w:hAnsi="Helvetica" w:cs="Helvetica" w:eastAsia="Helvetica"/>
          <w:color w:val="000000"/>
          <w:sz w:val="16"/>
        </w:rPr>
        <w:t>Source : Rapport actuariel et statistique du 23/10/2026, diapositives 23 et 24. Rouge : score de 15 à 25. Jaune : 8 à 12. Vert : 1 à 6.</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3</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Les dix risques, du plus grave au moins grave</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624"/>
        <w:gridCol w:w="3005"/>
        <w:gridCol w:w="1304"/>
        <w:gridCol w:w="3402"/>
        <w:gridCol w:w="964"/>
        <w:gridCol w:w="1134"/>
      </w:tblGrid>
      <w:tr>
        <w:trPr>
          <w:tblHeader/>
        </w:trPr>
        <w:tc>
          <w:tcPr>
            <w:tcW w:type="dxa" w:w="624"/>
            <w:shd w:val="clear" w:color="auto" w:fill="000000"/>
          </w:tcPr>
          <w:p>
            <w:pPr>
              <w:spacing w:after="40" w:before="40" w:line="240" w:lineRule="auto"/>
              <w:jc w:val="left"/>
            </w:pPr>
            <w:r>
              <w:rPr>
                <w:rFonts w:ascii="Helvetica" w:hAnsi="Helvetica" w:cs="Helvetica" w:eastAsia="Helvetica"/>
                <w:b/>
                <w:color w:val="FFFFFF"/>
                <w:sz w:val="17"/>
              </w:rPr>
              <w:t>N°</w:t>
            </w:r>
          </w:p>
        </w:tc>
        <w:tc>
          <w:tcPr>
            <w:tcW w:type="dxa" w:w="3005"/>
            <w:shd w:val="clear" w:color="auto" w:fill="000000"/>
          </w:tcPr>
          <w:p>
            <w:pPr>
              <w:spacing w:after="40" w:before="40" w:line="240" w:lineRule="auto"/>
              <w:jc w:val="center"/>
            </w:pPr>
            <w:r>
              <w:rPr>
                <w:rFonts w:ascii="Helvetica" w:hAnsi="Helvetica" w:cs="Helvetica" w:eastAsia="Helvetica"/>
                <w:b/>
                <w:color w:val="FFFFFF"/>
                <w:sz w:val="17"/>
              </w:rPr>
              <w:t>Risque en clair</w:t>
            </w:r>
          </w:p>
        </w:tc>
        <w:tc>
          <w:tcPr>
            <w:tcW w:type="dxa" w:w="1304"/>
            <w:shd w:val="clear" w:color="auto" w:fill="000000"/>
          </w:tcPr>
          <w:p>
            <w:pPr>
              <w:spacing w:after="40" w:before="40" w:line="240" w:lineRule="auto"/>
              <w:jc w:val="center"/>
            </w:pPr>
            <w:r>
              <w:rPr>
                <w:rFonts w:ascii="Helvetica" w:hAnsi="Helvetica" w:cs="Helvetica" w:eastAsia="Helvetica"/>
                <w:b/>
                <w:color w:val="FFFFFF"/>
                <w:sz w:val="17"/>
              </w:rPr>
              <w:t>Probabilité</w:t>
            </w:r>
          </w:p>
        </w:tc>
        <w:tc>
          <w:tcPr>
            <w:tcW w:type="dxa" w:w="3402"/>
            <w:shd w:val="clear" w:color="auto" w:fill="000000"/>
          </w:tcPr>
          <w:p>
            <w:pPr>
              <w:spacing w:after="40" w:before="40" w:line="240" w:lineRule="auto"/>
              <w:jc w:val="center"/>
            </w:pPr>
            <w:r>
              <w:rPr>
                <w:rFonts w:ascii="Helvetica" w:hAnsi="Helvetica" w:cs="Helvetica" w:eastAsia="Helvetica"/>
                <w:b/>
                <w:color w:val="FFFFFF"/>
                <w:sz w:val="17"/>
              </w:rPr>
              <w:t>Gravité</w:t>
            </w:r>
          </w:p>
        </w:tc>
        <w:tc>
          <w:tcPr>
            <w:tcW w:type="dxa" w:w="964"/>
            <w:shd w:val="clear" w:color="auto" w:fill="000000"/>
          </w:tcPr>
          <w:p>
            <w:pPr>
              <w:spacing w:after="40" w:before="40" w:line="240" w:lineRule="auto"/>
              <w:jc w:val="center"/>
            </w:pPr>
            <w:r>
              <w:rPr>
                <w:rFonts w:ascii="Helvetica" w:hAnsi="Helvetica" w:cs="Helvetica" w:eastAsia="Helvetica"/>
                <w:b/>
                <w:color w:val="FFFFFF"/>
                <w:sz w:val="17"/>
              </w:rPr>
              <w:t>Score</w:t>
            </w:r>
          </w:p>
        </w:tc>
        <w:tc>
          <w:tcPr>
            <w:tcW w:type="dxa" w:w="1134"/>
            <w:shd w:val="clear" w:color="auto" w:fill="000000"/>
          </w:tcPr>
          <w:p>
            <w:pPr>
              <w:spacing w:after="40" w:before="40" w:line="240" w:lineRule="auto"/>
              <w:jc w:val="center"/>
            </w:pPr>
            <w:r>
              <w:rPr>
                <w:rFonts w:ascii="Helvetica" w:hAnsi="Helvetica" w:cs="Helvetica" w:eastAsia="Helvetica"/>
                <w:b/>
                <w:color w:val="FFFFFF"/>
                <w:sz w:val="17"/>
              </w:rPr>
              <w:t>Constat</w:t>
            </w:r>
          </w:p>
        </w:tc>
      </w:tr>
      <w:tr>
        <w:tc>
          <w:tcPr>
            <w:tcW w:type="dxa" w:w="624"/>
            <w:shd w:val="clear" w:color="auto" w:fill="CCCCCC"/>
          </w:tcPr>
          <w:p>
            <w:pPr>
              <w:spacing w:after="40" w:before="40" w:line="240" w:lineRule="auto"/>
              <w:jc w:val="left"/>
            </w:pPr>
            <w:r>
              <w:rPr>
                <w:rFonts w:ascii="Helvetica" w:hAnsi="Helvetica" w:cs="Helvetica" w:eastAsia="Helvetica"/>
                <w:b/>
                <w:color w:val="000000"/>
                <w:sz w:val="17"/>
              </w:rPr>
              <w:t>R1</w:t>
            </w:r>
          </w:p>
        </w:tc>
        <w:tc>
          <w:tcPr>
            <w:tcW w:type="dxa" w:w="3005"/>
          </w:tcPr>
          <w:p>
            <w:pPr>
              <w:spacing w:after="40" w:before="40" w:line="240" w:lineRule="auto"/>
              <w:jc w:val="left"/>
            </w:pPr>
            <w:r>
              <w:rPr>
                <w:rFonts w:ascii="Helvetica" w:hAnsi="Helvetica" w:cs="Helvetica" w:eastAsia="Helvetica"/>
                <w:color w:val="000000"/>
                <w:sz w:val="17"/>
              </w:rPr>
              <w:t>Ne pas pouvoir payer les sorties d'épargne à temps</w:t>
            </w:r>
          </w:p>
        </w:tc>
        <w:tc>
          <w:tcPr>
            <w:tcW w:type="dxa" w:w="1304"/>
          </w:tcPr>
          <w:p>
            <w:pPr>
              <w:spacing w:after="40" w:before="40" w:line="240" w:lineRule="auto"/>
              <w:jc w:val="right"/>
            </w:pPr>
            <w:r>
              <w:rPr>
                <w:rFonts w:ascii="Helvetica" w:hAnsi="Helvetica" w:cs="Helvetica" w:eastAsia="Helvetica"/>
                <w:color w:val="000000"/>
                <w:sz w:val="17"/>
              </w:rPr>
              <w:t>4</w:t>
            </w:r>
          </w:p>
        </w:tc>
        <w:tc>
          <w:tcPr>
            <w:tcW w:type="dxa" w:w="3402"/>
          </w:tcPr>
          <w:p>
            <w:pPr>
              <w:spacing w:after="40" w:before="40" w:line="240" w:lineRule="auto"/>
              <w:jc w:val="left"/>
            </w:pPr>
            <w:r>
              <w:rPr>
                <w:rFonts w:ascii="Helvetica" w:hAnsi="Helvetica" w:cs="Helvetica" w:eastAsia="Helvetica"/>
                <w:color w:val="000000"/>
                <w:sz w:val="17"/>
              </w:rPr>
              <w:t>5 : manque de 12 596 052 822 FCFA à cinq ans</w:t>
            </w:r>
          </w:p>
        </w:tc>
        <w:tc>
          <w:tcPr>
            <w:tcW w:type="dxa" w:w="964"/>
          </w:tcPr>
          <w:p>
            <w:pPr>
              <w:spacing w:after="40" w:before="40" w:line="240" w:lineRule="auto"/>
              <w:jc w:val="left"/>
            </w:pPr>
            <w:r>
              <w:rPr>
                <w:rFonts w:ascii="Helvetica" w:hAnsi="Helvetica" w:cs="Helvetica" w:eastAsia="Helvetica"/>
                <w:color w:val="C00000"/>
                <w:sz w:val="17"/>
              </w:rPr>
              <w:t xml:space="preserve">●</w:t>
            </w:r>
            <w:r>
              <w:rPr>
                <w:rFonts w:ascii="Helvetica" w:hAnsi="Helvetica" w:cs="Helvetica" w:eastAsia="Helvetica"/>
                <w:color w:val="000000"/>
                <w:sz w:val="17"/>
              </w:rPr>
              <w:t xml:space="preserve"> 20</w:t>
            </w:r>
          </w:p>
        </w:tc>
        <w:tc>
          <w:tcPr>
            <w:tcW w:type="dxa" w:w="1134"/>
          </w:tcPr>
          <w:p>
            <w:pPr>
              <w:spacing w:after="40" w:before="40" w:line="240" w:lineRule="auto"/>
              <w:jc w:val="right"/>
            </w:pPr>
            <w:r>
              <w:rPr>
                <w:rFonts w:ascii="Helvetica" w:hAnsi="Helvetica" w:cs="Helvetica" w:eastAsia="Helvetica"/>
                <w:color w:val="000000"/>
                <w:sz w:val="17"/>
              </w:rPr>
              <w:t>11</w:t>
            </w:r>
          </w:p>
        </w:tc>
      </w:tr>
      <w:tr>
        <w:tc>
          <w:tcPr>
            <w:tcW w:type="dxa" w:w="624"/>
            <w:shd w:val="clear" w:color="auto" w:fill="CCCCCC"/>
          </w:tcPr>
          <w:p>
            <w:pPr>
              <w:spacing w:after="40" w:before="40" w:line="240" w:lineRule="auto"/>
              <w:jc w:val="left"/>
            </w:pPr>
            <w:r>
              <w:rPr>
                <w:rFonts w:ascii="Helvetica" w:hAnsi="Helvetica" w:cs="Helvetica" w:eastAsia="Helvetica"/>
                <w:b/>
                <w:color w:val="000000"/>
                <w:sz w:val="17"/>
              </w:rPr>
              <w:t>R2</w:t>
            </w:r>
          </w:p>
        </w:tc>
        <w:tc>
          <w:tcPr>
            <w:tcW w:type="dxa" w:w="3005"/>
            <w:shd w:val="clear" w:color="auto" w:fill="E8E8E8"/>
          </w:tcPr>
          <w:p>
            <w:pPr>
              <w:spacing w:after="40" w:before="40" w:line="240" w:lineRule="auto"/>
              <w:jc w:val="left"/>
            </w:pPr>
            <w:r>
              <w:rPr>
                <w:rFonts w:ascii="Helvetica" w:hAnsi="Helvetica" w:cs="Helvetica" w:eastAsia="Helvetica"/>
                <w:color w:val="000000"/>
                <w:sz w:val="17"/>
              </w:rPr>
              <w:t>Perdre l'agrément ou être sanctionné par l'AIRMS</w:t>
            </w:r>
          </w:p>
        </w:tc>
        <w:tc>
          <w:tcPr>
            <w:tcW w:type="dxa" w:w="1304"/>
            <w:shd w:val="clear" w:color="auto" w:fill="E8E8E8"/>
          </w:tcPr>
          <w:p>
            <w:pPr>
              <w:spacing w:after="40" w:before="40" w:line="240" w:lineRule="auto"/>
              <w:jc w:val="right"/>
            </w:pPr>
            <w:r>
              <w:rPr>
                <w:rFonts w:ascii="Helvetica" w:hAnsi="Helvetica" w:cs="Helvetica" w:eastAsia="Helvetica"/>
                <w:color w:val="000000"/>
                <w:sz w:val="17"/>
              </w:rPr>
              <w:t>4</w:t>
            </w:r>
          </w:p>
        </w:tc>
        <w:tc>
          <w:tcPr>
            <w:tcW w:type="dxa" w:w="3402"/>
            <w:shd w:val="clear" w:color="auto" w:fill="E8E8E8"/>
          </w:tcPr>
          <w:p>
            <w:pPr>
              <w:spacing w:after="40" w:before="40" w:line="240" w:lineRule="auto"/>
              <w:jc w:val="left"/>
            </w:pPr>
            <w:r>
              <w:rPr>
                <w:rFonts w:ascii="Helvetica" w:hAnsi="Helvetica" w:cs="Helvetica" w:eastAsia="Helvetica"/>
                <w:color w:val="000000"/>
                <w:sz w:val="17"/>
              </w:rPr>
              <w:t>5 : arrêt de l'activité</w:t>
            </w:r>
          </w:p>
        </w:tc>
        <w:tc>
          <w:tcPr>
            <w:tcW w:type="dxa" w:w="964"/>
            <w:shd w:val="clear" w:color="auto" w:fill="E8E8E8"/>
          </w:tcPr>
          <w:p>
            <w:pPr>
              <w:spacing w:after="40" w:before="40" w:line="240" w:lineRule="auto"/>
              <w:jc w:val="left"/>
            </w:pPr>
            <w:r>
              <w:rPr>
                <w:rFonts w:ascii="Helvetica" w:hAnsi="Helvetica" w:cs="Helvetica" w:eastAsia="Helvetica"/>
                <w:color w:val="C00000"/>
                <w:sz w:val="17"/>
              </w:rPr>
              <w:t xml:space="preserve">●</w:t>
            </w:r>
            <w:r>
              <w:rPr>
                <w:rFonts w:ascii="Helvetica" w:hAnsi="Helvetica" w:cs="Helvetica" w:eastAsia="Helvetica"/>
                <w:color w:val="000000"/>
                <w:sz w:val="17"/>
              </w:rPr>
              <w:t xml:space="preserve"> 20</w:t>
            </w:r>
          </w:p>
        </w:tc>
        <w:tc>
          <w:tcPr>
            <w:tcW w:type="dxa" w:w="1134"/>
            <w:shd w:val="clear" w:color="auto" w:fill="E8E8E8"/>
          </w:tcPr>
          <w:p>
            <w:pPr>
              <w:spacing w:after="40" w:before="40" w:line="240" w:lineRule="auto"/>
              <w:jc w:val="right"/>
            </w:pPr>
            <w:r>
              <w:rPr>
                <w:rFonts w:ascii="Helvetica" w:hAnsi="Helvetica" w:cs="Helvetica" w:eastAsia="Helvetica"/>
                <w:color w:val="000000"/>
                <w:sz w:val="17"/>
              </w:rPr>
              <w:t>14</w:t>
            </w:r>
          </w:p>
        </w:tc>
      </w:tr>
      <w:tr>
        <w:tc>
          <w:tcPr>
            <w:tcW w:type="dxa" w:w="624"/>
            <w:shd w:val="clear" w:color="auto" w:fill="CCCCCC"/>
          </w:tcPr>
          <w:p>
            <w:pPr>
              <w:spacing w:after="40" w:before="40" w:line="240" w:lineRule="auto"/>
              <w:jc w:val="left"/>
            </w:pPr>
            <w:r>
              <w:rPr>
                <w:rFonts w:ascii="Helvetica" w:hAnsi="Helvetica" w:cs="Helvetica" w:eastAsia="Helvetica"/>
                <w:b/>
                <w:color w:val="000000"/>
                <w:sz w:val="17"/>
              </w:rPr>
              <w:t>R3</w:t>
            </w:r>
          </w:p>
        </w:tc>
        <w:tc>
          <w:tcPr>
            <w:tcW w:type="dxa" w:w="3005"/>
          </w:tcPr>
          <w:p>
            <w:pPr>
              <w:spacing w:after="40" w:before="40" w:line="240" w:lineRule="auto"/>
              <w:jc w:val="left"/>
            </w:pPr>
            <w:r>
              <w:rPr>
                <w:rFonts w:ascii="Helvetica" w:hAnsi="Helvetica" w:cs="Helvetica" w:eastAsia="Helvetica"/>
                <w:color w:val="000000"/>
                <w:sz w:val="17"/>
              </w:rPr>
              <w:t>Sous-estimer la dette d'épargne</w:t>
            </w:r>
          </w:p>
        </w:tc>
        <w:tc>
          <w:tcPr>
            <w:tcW w:type="dxa" w:w="1304"/>
          </w:tcPr>
          <w:p>
            <w:pPr>
              <w:spacing w:after="40" w:before="40" w:line="240" w:lineRule="auto"/>
              <w:jc w:val="right"/>
            </w:pPr>
            <w:r>
              <w:rPr>
                <w:rFonts w:ascii="Helvetica" w:hAnsi="Helvetica" w:cs="Helvetica" w:eastAsia="Helvetica"/>
                <w:color w:val="000000"/>
                <w:sz w:val="17"/>
              </w:rPr>
              <w:t>5</w:t>
            </w:r>
          </w:p>
        </w:tc>
        <w:tc>
          <w:tcPr>
            <w:tcW w:type="dxa" w:w="3402"/>
          </w:tcPr>
          <w:p>
            <w:pPr>
              <w:spacing w:after="40" w:before="40" w:line="240" w:lineRule="auto"/>
              <w:jc w:val="left"/>
            </w:pPr>
            <w:r>
              <w:rPr>
                <w:rFonts w:ascii="Helvetica" w:hAnsi="Helvetica" w:cs="Helvetica" w:eastAsia="Helvetica"/>
                <w:color w:val="000000"/>
                <w:sz w:val="17"/>
              </w:rPr>
              <w:t>4 : 3 278 913 238 FCFA d'intérêts non comptés</w:t>
            </w:r>
          </w:p>
        </w:tc>
        <w:tc>
          <w:tcPr>
            <w:tcW w:type="dxa" w:w="964"/>
          </w:tcPr>
          <w:p>
            <w:pPr>
              <w:spacing w:after="40" w:before="40" w:line="240" w:lineRule="auto"/>
              <w:jc w:val="left"/>
            </w:pPr>
            <w:r>
              <w:rPr>
                <w:rFonts w:ascii="Helvetica" w:hAnsi="Helvetica" w:cs="Helvetica" w:eastAsia="Helvetica"/>
                <w:color w:val="C00000"/>
                <w:sz w:val="17"/>
              </w:rPr>
              <w:t xml:space="preserve">●</w:t>
            </w:r>
            <w:r>
              <w:rPr>
                <w:rFonts w:ascii="Helvetica" w:hAnsi="Helvetica" w:cs="Helvetica" w:eastAsia="Helvetica"/>
                <w:color w:val="000000"/>
                <w:sz w:val="17"/>
              </w:rPr>
              <w:t xml:space="preserve"> 20</w:t>
            </w:r>
          </w:p>
        </w:tc>
        <w:tc>
          <w:tcPr>
            <w:tcW w:type="dxa" w:w="1134"/>
          </w:tcPr>
          <w:p>
            <w:pPr>
              <w:spacing w:after="40" w:before="40" w:line="240" w:lineRule="auto"/>
              <w:jc w:val="left"/>
            </w:pPr>
            <w:r>
              <w:rPr>
                <w:rFonts w:ascii="Helvetica" w:hAnsi="Helvetica" w:cs="Helvetica" w:eastAsia="Helvetica"/>
                <w:color w:val="000000"/>
                <w:sz w:val="17"/>
              </w:rPr>
              <w:t>6 et 7</w:t>
            </w:r>
          </w:p>
        </w:tc>
      </w:tr>
      <w:tr>
        <w:tc>
          <w:tcPr>
            <w:tcW w:type="dxa" w:w="624"/>
            <w:shd w:val="clear" w:color="auto" w:fill="CCCCCC"/>
          </w:tcPr>
          <w:p>
            <w:pPr>
              <w:spacing w:after="40" w:before="40" w:line="240" w:lineRule="auto"/>
              <w:jc w:val="left"/>
            </w:pPr>
            <w:r>
              <w:rPr>
                <w:rFonts w:ascii="Helvetica" w:hAnsi="Helvetica" w:cs="Helvetica" w:eastAsia="Helvetica"/>
                <w:b/>
                <w:color w:val="000000"/>
                <w:sz w:val="17"/>
              </w:rPr>
              <w:t>R4</w:t>
            </w:r>
          </w:p>
        </w:tc>
        <w:tc>
          <w:tcPr>
            <w:tcW w:type="dxa" w:w="3005"/>
            <w:shd w:val="clear" w:color="auto" w:fill="E8E8E8"/>
          </w:tcPr>
          <w:p>
            <w:pPr>
              <w:spacing w:after="40" w:before="40" w:line="240" w:lineRule="auto"/>
              <w:jc w:val="left"/>
            </w:pPr>
            <w:r>
              <w:rPr>
                <w:rFonts w:ascii="Helvetica" w:hAnsi="Helvetica" w:cs="Helvetica" w:eastAsia="Helvetica"/>
                <w:color w:val="000000"/>
                <w:sz w:val="17"/>
              </w:rPr>
              <w:t>Garder des provisions sans lien avec les risques</w:t>
            </w:r>
          </w:p>
        </w:tc>
        <w:tc>
          <w:tcPr>
            <w:tcW w:type="dxa" w:w="1304"/>
            <w:shd w:val="clear" w:color="auto" w:fill="E8E8E8"/>
          </w:tcPr>
          <w:p>
            <w:pPr>
              <w:spacing w:after="40" w:before="40" w:line="240" w:lineRule="auto"/>
              <w:jc w:val="right"/>
            </w:pPr>
            <w:r>
              <w:rPr>
                <w:rFonts w:ascii="Helvetica" w:hAnsi="Helvetica" w:cs="Helvetica" w:eastAsia="Helvetica"/>
                <w:color w:val="000000"/>
                <w:sz w:val="17"/>
              </w:rPr>
              <w:t>5</w:t>
            </w:r>
          </w:p>
        </w:tc>
        <w:tc>
          <w:tcPr>
            <w:tcW w:type="dxa" w:w="3402"/>
            <w:shd w:val="clear" w:color="auto" w:fill="E8E8E8"/>
          </w:tcPr>
          <w:p>
            <w:pPr>
              <w:spacing w:after="40" w:before="40" w:line="240" w:lineRule="auto"/>
              <w:jc w:val="left"/>
            </w:pPr>
            <w:r>
              <w:rPr>
                <w:rFonts w:ascii="Helvetica" w:hAnsi="Helvetica" w:cs="Helvetica" w:eastAsia="Helvetica"/>
                <w:color w:val="000000"/>
                <w:sz w:val="17"/>
              </w:rPr>
              <w:t>4 : 4 809 716 898 FCFA au-dessus du besoin</w:t>
            </w:r>
          </w:p>
        </w:tc>
        <w:tc>
          <w:tcPr>
            <w:tcW w:type="dxa" w:w="964"/>
            <w:shd w:val="clear" w:color="auto" w:fill="E8E8E8"/>
          </w:tcPr>
          <w:p>
            <w:pPr>
              <w:spacing w:after="40" w:before="40" w:line="240" w:lineRule="auto"/>
              <w:jc w:val="left"/>
            </w:pPr>
            <w:r>
              <w:rPr>
                <w:rFonts w:ascii="Helvetica" w:hAnsi="Helvetica" w:cs="Helvetica" w:eastAsia="Helvetica"/>
                <w:color w:val="C00000"/>
                <w:sz w:val="17"/>
              </w:rPr>
              <w:t xml:space="preserve">●</w:t>
            </w:r>
            <w:r>
              <w:rPr>
                <w:rFonts w:ascii="Helvetica" w:hAnsi="Helvetica" w:cs="Helvetica" w:eastAsia="Helvetica"/>
                <w:color w:val="000000"/>
                <w:sz w:val="17"/>
              </w:rPr>
              <w:t xml:space="preserve"> 20</w:t>
            </w:r>
          </w:p>
        </w:tc>
        <w:tc>
          <w:tcPr>
            <w:tcW w:type="dxa" w:w="1134"/>
            <w:shd w:val="clear" w:color="auto" w:fill="E8E8E8"/>
          </w:tcPr>
          <w:p>
            <w:pPr>
              <w:spacing w:after="40" w:before="40" w:line="240" w:lineRule="auto"/>
              <w:jc w:val="right"/>
            </w:pPr>
            <w:r>
              <w:rPr>
                <w:rFonts w:ascii="Helvetica" w:hAnsi="Helvetica" w:cs="Helvetica" w:eastAsia="Helvetica"/>
                <w:color w:val="000000"/>
                <w:sz w:val="17"/>
              </w:rPr>
              <w:t>1</w:t>
            </w:r>
          </w:p>
        </w:tc>
      </w:tr>
      <w:tr>
        <w:tc>
          <w:tcPr>
            <w:tcW w:type="dxa" w:w="624"/>
            <w:shd w:val="clear" w:color="auto" w:fill="CCCCCC"/>
          </w:tcPr>
          <w:p>
            <w:pPr>
              <w:spacing w:after="40" w:before="40" w:line="240" w:lineRule="auto"/>
              <w:jc w:val="left"/>
            </w:pPr>
            <w:r>
              <w:rPr>
                <w:rFonts w:ascii="Helvetica" w:hAnsi="Helvetica" w:cs="Helvetica" w:eastAsia="Helvetica"/>
                <w:b/>
                <w:color w:val="000000"/>
                <w:sz w:val="17"/>
              </w:rPr>
              <w:t>R5</w:t>
            </w:r>
          </w:p>
        </w:tc>
        <w:tc>
          <w:tcPr>
            <w:tcW w:type="dxa" w:w="3005"/>
          </w:tcPr>
          <w:p>
            <w:pPr>
              <w:spacing w:after="40" w:before="40" w:line="240" w:lineRule="auto"/>
              <w:jc w:val="left"/>
            </w:pPr>
            <w:r>
              <w:rPr>
                <w:rFonts w:ascii="Helvetica" w:hAnsi="Helvetica" w:cs="Helvetica" w:eastAsia="Helvetica"/>
                <w:color w:val="000000"/>
                <w:sz w:val="17"/>
              </w:rPr>
              <w:t>Voir la garantie maladie s'enfoncer dans le déficit</w:t>
            </w:r>
          </w:p>
        </w:tc>
        <w:tc>
          <w:tcPr>
            <w:tcW w:type="dxa" w:w="1304"/>
          </w:tcPr>
          <w:p>
            <w:pPr>
              <w:spacing w:after="40" w:before="40" w:line="240" w:lineRule="auto"/>
              <w:jc w:val="right"/>
            </w:pPr>
            <w:r>
              <w:rPr>
                <w:rFonts w:ascii="Helvetica" w:hAnsi="Helvetica" w:cs="Helvetica" w:eastAsia="Helvetica"/>
                <w:color w:val="000000"/>
                <w:sz w:val="17"/>
              </w:rPr>
              <w:t>5</w:t>
            </w:r>
          </w:p>
        </w:tc>
        <w:tc>
          <w:tcPr>
            <w:tcW w:type="dxa" w:w="3402"/>
          </w:tcPr>
          <w:p>
            <w:pPr>
              <w:spacing w:after="40" w:before="40" w:line="240" w:lineRule="auto"/>
              <w:jc w:val="left"/>
            </w:pPr>
            <w:r>
              <w:rPr>
                <w:rFonts w:ascii="Helvetica" w:hAnsi="Helvetica" w:cs="Helvetica" w:eastAsia="Helvetica"/>
                <w:color w:val="000000"/>
                <w:sz w:val="17"/>
              </w:rPr>
              <w:t>3 : 701 679 552 FCFA de déficit sur huit mois de 2026</w:t>
            </w:r>
          </w:p>
        </w:tc>
        <w:tc>
          <w:tcPr>
            <w:tcW w:type="dxa" w:w="964"/>
          </w:tcPr>
          <w:p>
            <w:pPr>
              <w:spacing w:after="40" w:before="40" w:line="240" w:lineRule="auto"/>
              <w:jc w:val="left"/>
            </w:pPr>
            <w:r>
              <w:rPr>
                <w:rFonts w:ascii="Helvetica" w:hAnsi="Helvetica" w:cs="Helvetica" w:eastAsia="Helvetica"/>
                <w:color w:val="C00000"/>
                <w:sz w:val="17"/>
              </w:rPr>
              <w:t xml:space="preserve">●</w:t>
            </w:r>
            <w:r>
              <w:rPr>
                <w:rFonts w:ascii="Helvetica" w:hAnsi="Helvetica" w:cs="Helvetica" w:eastAsia="Helvetica"/>
                <w:color w:val="000000"/>
                <w:sz w:val="17"/>
              </w:rPr>
              <w:t xml:space="preserve"> 15</w:t>
            </w:r>
          </w:p>
        </w:tc>
        <w:tc>
          <w:tcPr>
            <w:tcW w:type="dxa" w:w="1134"/>
          </w:tcPr>
          <w:p>
            <w:pPr>
              <w:spacing w:after="40" w:before="40" w:line="240" w:lineRule="auto"/>
              <w:jc w:val="right"/>
            </w:pPr>
            <w:r>
              <w:rPr>
                <w:rFonts w:ascii="Helvetica" w:hAnsi="Helvetica" w:cs="Helvetica" w:eastAsia="Helvetica"/>
                <w:color w:val="000000"/>
                <w:sz w:val="17"/>
              </w:rPr>
              <w:t>19</w:t>
            </w:r>
          </w:p>
        </w:tc>
      </w:tr>
      <w:tr>
        <w:tc>
          <w:tcPr>
            <w:tcW w:type="dxa" w:w="624"/>
            <w:shd w:val="clear" w:color="auto" w:fill="CCCCCC"/>
          </w:tcPr>
          <w:p>
            <w:pPr>
              <w:spacing w:after="40" w:before="40" w:line="240" w:lineRule="auto"/>
              <w:jc w:val="left"/>
            </w:pPr>
            <w:r>
              <w:rPr>
                <w:rFonts w:ascii="Helvetica" w:hAnsi="Helvetica" w:cs="Helvetica" w:eastAsia="Helvetica"/>
                <w:b/>
                <w:color w:val="000000"/>
                <w:sz w:val="17"/>
              </w:rPr>
              <w:t>R6</w:t>
            </w:r>
          </w:p>
        </w:tc>
        <w:tc>
          <w:tcPr>
            <w:tcW w:type="dxa" w:w="3005"/>
            <w:shd w:val="clear" w:color="auto" w:fill="E8E8E8"/>
          </w:tcPr>
          <w:p>
            <w:pPr>
              <w:spacing w:after="40" w:before="40" w:line="240" w:lineRule="auto"/>
              <w:jc w:val="left"/>
            </w:pPr>
            <w:r>
              <w:rPr>
                <w:rFonts w:ascii="Helvetica" w:hAnsi="Helvetica" w:cs="Helvetica" w:eastAsia="Helvetica"/>
                <w:color w:val="000000"/>
                <w:sz w:val="17"/>
              </w:rPr>
              <w:t>N'avoir aucun coussin pour un coup dur</w:t>
            </w:r>
          </w:p>
        </w:tc>
        <w:tc>
          <w:tcPr>
            <w:tcW w:type="dxa" w:w="1304"/>
            <w:shd w:val="clear" w:color="auto" w:fill="E8E8E8"/>
          </w:tcPr>
          <w:p>
            <w:pPr>
              <w:spacing w:after="40" w:before="40" w:line="240" w:lineRule="auto"/>
              <w:jc w:val="right"/>
            </w:pPr>
            <w:r>
              <w:rPr>
                <w:rFonts w:ascii="Helvetica" w:hAnsi="Helvetica" w:cs="Helvetica" w:eastAsia="Helvetica"/>
                <w:color w:val="000000"/>
                <w:sz w:val="17"/>
              </w:rPr>
              <w:t>5</w:t>
            </w:r>
          </w:p>
        </w:tc>
        <w:tc>
          <w:tcPr>
            <w:tcW w:type="dxa" w:w="3402"/>
            <w:shd w:val="clear" w:color="auto" w:fill="E8E8E8"/>
          </w:tcPr>
          <w:p>
            <w:pPr>
              <w:spacing w:after="40" w:before="40" w:line="240" w:lineRule="auto"/>
              <w:jc w:val="left"/>
            </w:pPr>
            <w:r>
              <w:rPr>
                <w:rFonts w:ascii="Helvetica" w:hAnsi="Helvetica" w:cs="Helvetica" w:eastAsia="Helvetica"/>
                <w:color w:val="000000"/>
                <w:sz w:val="17"/>
              </w:rPr>
              <w:t>3 : fonds propres de -879 498 700 FCFA</w:t>
            </w:r>
          </w:p>
        </w:tc>
        <w:tc>
          <w:tcPr>
            <w:tcW w:type="dxa" w:w="964"/>
            <w:shd w:val="clear" w:color="auto" w:fill="E8E8E8"/>
          </w:tcPr>
          <w:p>
            <w:pPr>
              <w:spacing w:after="40" w:before="40" w:line="240" w:lineRule="auto"/>
              <w:jc w:val="left"/>
            </w:pPr>
            <w:r>
              <w:rPr>
                <w:rFonts w:ascii="Helvetica" w:hAnsi="Helvetica" w:cs="Helvetica" w:eastAsia="Helvetica"/>
                <w:color w:val="C00000"/>
                <w:sz w:val="17"/>
              </w:rPr>
              <w:t xml:space="preserve">●</w:t>
            </w:r>
            <w:r>
              <w:rPr>
                <w:rFonts w:ascii="Helvetica" w:hAnsi="Helvetica" w:cs="Helvetica" w:eastAsia="Helvetica"/>
                <w:color w:val="000000"/>
                <w:sz w:val="17"/>
              </w:rPr>
              <w:t xml:space="preserve"> 15</w:t>
            </w:r>
          </w:p>
        </w:tc>
        <w:tc>
          <w:tcPr>
            <w:tcW w:type="dxa" w:w="1134"/>
            <w:shd w:val="clear" w:color="auto" w:fill="E8E8E8"/>
          </w:tcPr>
          <w:p>
            <w:pPr>
              <w:spacing w:after="40" w:before="40" w:line="240" w:lineRule="auto"/>
              <w:jc w:val="right"/>
            </w:pPr>
            <w:r>
              <w:rPr>
                <w:rFonts w:ascii="Helvetica" w:hAnsi="Helvetica" w:cs="Helvetica" w:eastAsia="Helvetica"/>
                <w:color w:val="000000"/>
                <w:sz w:val="17"/>
              </w:rPr>
              <w:t>15</w:t>
            </w:r>
          </w:p>
        </w:tc>
      </w:tr>
      <w:tr>
        <w:tc>
          <w:tcPr>
            <w:tcW w:type="dxa" w:w="624"/>
            <w:shd w:val="clear" w:color="auto" w:fill="CCCCCC"/>
          </w:tcPr>
          <w:p>
            <w:pPr>
              <w:spacing w:after="40" w:before="40" w:line="240" w:lineRule="auto"/>
              <w:jc w:val="left"/>
            </w:pPr>
            <w:r>
              <w:rPr>
                <w:rFonts w:ascii="Helvetica" w:hAnsi="Helvetica" w:cs="Helvetica" w:eastAsia="Helvetica"/>
                <w:b/>
                <w:color w:val="000000"/>
                <w:sz w:val="17"/>
              </w:rPr>
              <w:t>R9</w:t>
            </w:r>
          </w:p>
        </w:tc>
        <w:tc>
          <w:tcPr>
            <w:tcW w:type="dxa" w:w="3005"/>
          </w:tcPr>
          <w:p>
            <w:pPr>
              <w:spacing w:after="40" w:before="40" w:line="240" w:lineRule="auto"/>
              <w:jc w:val="left"/>
            </w:pPr>
            <w:r>
              <w:rPr>
                <w:rFonts w:ascii="Helvetica" w:hAnsi="Helvetica" w:cs="Helvetica" w:eastAsia="Helvetica"/>
                <w:color w:val="000000"/>
                <w:sz w:val="17"/>
              </w:rPr>
              <w:t>Ne pas pouvoir mesurer les engagements faute de données</w:t>
            </w:r>
          </w:p>
        </w:tc>
        <w:tc>
          <w:tcPr>
            <w:tcW w:type="dxa" w:w="1304"/>
          </w:tcPr>
          <w:p>
            <w:pPr>
              <w:spacing w:after="40" w:before="40" w:line="240" w:lineRule="auto"/>
              <w:jc w:val="right"/>
            </w:pPr>
            <w:r>
              <w:rPr>
                <w:rFonts w:ascii="Helvetica" w:hAnsi="Helvetica" w:cs="Helvetica" w:eastAsia="Helvetica"/>
                <w:color w:val="000000"/>
                <w:sz w:val="17"/>
              </w:rPr>
              <w:t>5</w:t>
            </w:r>
          </w:p>
        </w:tc>
        <w:tc>
          <w:tcPr>
            <w:tcW w:type="dxa" w:w="3402"/>
          </w:tcPr>
          <w:p>
            <w:pPr>
              <w:spacing w:after="40" w:before="40" w:line="240" w:lineRule="auto"/>
              <w:jc w:val="left"/>
            </w:pPr>
            <w:r>
              <w:rPr>
                <w:rFonts w:ascii="Helvetica" w:hAnsi="Helvetica" w:cs="Helvetica" w:eastAsia="Helvetica"/>
                <w:color w:val="000000"/>
                <w:sz w:val="17"/>
              </w:rPr>
              <w:t>3 : provisions, mortalité et retraités non calculables</w:t>
            </w:r>
          </w:p>
        </w:tc>
        <w:tc>
          <w:tcPr>
            <w:tcW w:type="dxa" w:w="964"/>
          </w:tcPr>
          <w:p>
            <w:pPr>
              <w:spacing w:after="40" w:before="40" w:line="240" w:lineRule="auto"/>
              <w:jc w:val="left"/>
            </w:pPr>
            <w:r>
              <w:rPr>
                <w:rFonts w:ascii="Helvetica" w:hAnsi="Helvetica" w:cs="Helvetica" w:eastAsia="Helvetica"/>
                <w:color w:val="C00000"/>
                <w:sz w:val="17"/>
              </w:rPr>
              <w:t xml:space="preserve">●</w:t>
            </w:r>
            <w:r>
              <w:rPr>
                <w:rFonts w:ascii="Helvetica" w:hAnsi="Helvetica" w:cs="Helvetica" w:eastAsia="Helvetica"/>
                <w:color w:val="000000"/>
                <w:sz w:val="17"/>
              </w:rPr>
              <w:t xml:space="preserve"> 15</w:t>
            </w:r>
          </w:p>
        </w:tc>
        <w:tc>
          <w:tcPr>
            <w:tcW w:type="dxa" w:w="1134"/>
          </w:tcPr>
          <w:p>
            <w:pPr>
              <w:spacing w:after="40" w:before="40" w:line="240" w:lineRule="auto"/>
              <w:jc w:val="right"/>
            </w:pPr>
            <w:r>
              <w:rPr>
                <w:rFonts w:ascii="Helvetica" w:hAnsi="Helvetica" w:cs="Helvetica" w:eastAsia="Helvetica"/>
                <w:color w:val="000000"/>
                <w:sz w:val="17"/>
              </w:rPr>
              <w:t>26</w:t>
            </w:r>
          </w:p>
        </w:tc>
      </w:tr>
      <w:tr>
        <w:tc>
          <w:tcPr>
            <w:tcW w:type="dxa" w:w="624"/>
            <w:shd w:val="clear" w:color="auto" w:fill="CCCCCC"/>
          </w:tcPr>
          <w:p>
            <w:pPr>
              <w:spacing w:after="40" w:before="40" w:line="240" w:lineRule="auto"/>
              <w:jc w:val="left"/>
            </w:pPr>
            <w:r>
              <w:rPr>
                <w:rFonts w:ascii="Helvetica" w:hAnsi="Helvetica" w:cs="Helvetica" w:eastAsia="Helvetica"/>
                <w:b/>
                <w:color w:val="000000"/>
                <w:sz w:val="17"/>
              </w:rPr>
              <w:t>R10</w:t>
            </w:r>
          </w:p>
        </w:tc>
        <w:tc>
          <w:tcPr>
            <w:tcW w:type="dxa" w:w="3005"/>
            <w:shd w:val="clear" w:color="auto" w:fill="E8E8E8"/>
          </w:tcPr>
          <w:p>
            <w:pPr>
              <w:spacing w:after="40" w:before="40" w:line="240" w:lineRule="auto"/>
              <w:jc w:val="left"/>
            </w:pPr>
            <w:r>
              <w:rPr>
                <w:rFonts w:ascii="Helvetica" w:hAnsi="Helvetica" w:cs="Helvetica" w:eastAsia="Helvetica"/>
                <w:color w:val="000000"/>
                <w:sz w:val="17"/>
              </w:rPr>
              <w:t>Engager l'argent sans décision des organes</w:t>
            </w:r>
          </w:p>
        </w:tc>
        <w:tc>
          <w:tcPr>
            <w:tcW w:type="dxa" w:w="1304"/>
            <w:shd w:val="clear" w:color="auto" w:fill="E8E8E8"/>
          </w:tcPr>
          <w:p>
            <w:pPr>
              <w:spacing w:after="40" w:before="40" w:line="240" w:lineRule="auto"/>
              <w:jc w:val="right"/>
            </w:pPr>
            <w:r>
              <w:rPr>
                <w:rFonts w:ascii="Helvetica" w:hAnsi="Helvetica" w:cs="Helvetica" w:eastAsia="Helvetica"/>
                <w:color w:val="000000"/>
                <w:sz w:val="17"/>
              </w:rPr>
              <w:t>4</w:t>
            </w:r>
          </w:p>
        </w:tc>
        <w:tc>
          <w:tcPr>
            <w:tcW w:type="dxa" w:w="3402"/>
            <w:shd w:val="clear" w:color="auto" w:fill="E8E8E8"/>
          </w:tcPr>
          <w:p>
            <w:pPr>
              <w:spacing w:after="40" w:before="40" w:line="240" w:lineRule="auto"/>
              <w:jc w:val="left"/>
            </w:pPr>
            <w:r>
              <w:rPr>
                <w:rFonts w:ascii="Helvetica" w:hAnsi="Helvetica" w:cs="Helvetica" w:eastAsia="Helvetica"/>
                <w:color w:val="000000"/>
                <w:sz w:val="17"/>
              </w:rPr>
              <w:t>3 : fonds commun de placement de 500 000 000 FCFA en 2025</w:t>
            </w:r>
          </w:p>
        </w:tc>
        <w:tc>
          <w:tcPr>
            <w:tcW w:type="dxa" w:w="964"/>
            <w:shd w:val="clear" w:color="auto" w:fill="E8E8E8"/>
          </w:tcPr>
          <w:p>
            <w:pPr>
              <w:spacing w:after="40" w:before="40" w:line="240" w:lineRule="auto"/>
              <w:jc w:val="left"/>
            </w:pPr>
            <w:r>
              <w:rPr>
                <w:rFonts w:ascii="Helvetica" w:hAnsi="Helvetica" w:cs="Helvetica" w:eastAsia="Helvetica"/>
                <w:color w:val="FFC000"/>
                <w:sz w:val="17"/>
              </w:rPr>
              <w:t xml:space="preserve">●</w:t>
            </w:r>
            <w:r>
              <w:rPr>
                <w:rFonts w:ascii="Helvetica" w:hAnsi="Helvetica" w:cs="Helvetica" w:eastAsia="Helvetica"/>
                <w:color w:val="000000"/>
                <w:sz w:val="17"/>
              </w:rPr>
              <w:t xml:space="preserve"> 12</w:t>
            </w:r>
          </w:p>
        </w:tc>
        <w:tc>
          <w:tcPr>
            <w:tcW w:type="dxa" w:w="1134"/>
            <w:shd w:val="clear" w:color="auto" w:fill="E8E8E8"/>
          </w:tcPr>
          <w:p>
            <w:pPr>
              <w:spacing w:after="40" w:before="40" w:line="240" w:lineRule="auto"/>
              <w:jc w:val="right"/>
            </w:pPr>
            <w:r>
              <w:rPr>
                <w:rFonts w:ascii="Helvetica" w:hAnsi="Helvetica" w:cs="Helvetica" w:eastAsia="Helvetica"/>
                <w:color w:val="000000"/>
                <w:sz w:val="17"/>
              </w:rPr>
              <w:t>24</w:t>
            </w:r>
          </w:p>
        </w:tc>
      </w:tr>
      <w:tr>
        <w:tc>
          <w:tcPr>
            <w:tcW w:type="dxa" w:w="624"/>
            <w:shd w:val="clear" w:color="auto" w:fill="CCCCCC"/>
          </w:tcPr>
          <w:p>
            <w:pPr>
              <w:spacing w:after="40" w:before="40" w:line="240" w:lineRule="auto"/>
              <w:jc w:val="left"/>
            </w:pPr>
            <w:r>
              <w:rPr>
                <w:rFonts w:ascii="Helvetica" w:hAnsi="Helvetica" w:cs="Helvetica" w:eastAsia="Helvetica"/>
                <w:b/>
                <w:color w:val="000000"/>
                <w:sz w:val="17"/>
              </w:rPr>
              <w:t>R8</w:t>
            </w:r>
          </w:p>
        </w:tc>
        <w:tc>
          <w:tcPr>
            <w:tcW w:type="dxa" w:w="3005"/>
          </w:tcPr>
          <w:p>
            <w:pPr>
              <w:spacing w:after="40" w:before="40" w:line="240" w:lineRule="auto"/>
              <w:jc w:val="left"/>
            </w:pPr>
            <w:r>
              <w:rPr>
                <w:rFonts w:ascii="Helvetica" w:hAnsi="Helvetica" w:cs="Helvetica" w:eastAsia="Helvetica"/>
                <w:color w:val="000000"/>
                <w:sz w:val="17"/>
              </w:rPr>
              <w:t>Ne pas gagner assez pour payer les intérêts promis</w:t>
            </w:r>
          </w:p>
        </w:tc>
        <w:tc>
          <w:tcPr>
            <w:tcW w:type="dxa" w:w="1304"/>
          </w:tcPr>
          <w:p>
            <w:pPr>
              <w:spacing w:after="40" w:before="40" w:line="240" w:lineRule="auto"/>
              <w:jc w:val="right"/>
            </w:pPr>
            <w:r>
              <w:rPr>
                <w:rFonts w:ascii="Helvetica" w:hAnsi="Helvetica" w:cs="Helvetica" w:eastAsia="Helvetica"/>
                <w:color w:val="000000"/>
                <w:sz w:val="17"/>
              </w:rPr>
              <w:t>5</w:t>
            </w:r>
          </w:p>
        </w:tc>
        <w:tc>
          <w:tcPr>
            <w:tcW w:type="dxa" w:w="3402"/>
          </w:tcPr>
          <w:p>
            <w:pPr>
              <w:spacing w:after="40" w:before="40" w:line="240" w:lineRule="auto"/>
              <w:jc w:val="left"/>
            </w:pPr>
            <w:r>
              <w:rPr>
                <w:rFonts w:ascii="Helvetica" w:hAnsi="Helvetica" w:cs="Helvetica" w:eastAsia="Helvetica"/>
                <w:color w:val="000000"/>
                <w:sz w:val="17"/>
              </w:rPr>
              <w:t>2 : 470 608 168 FCFA d'écart en 2025</w:t>
            </w:r>
          </w:p>
        </w:tc>
        <w:tc>
          <w:tcPr>
            <w:tcW w:type="dxa" w:w="964"/>
          </w:tcPr>
          <w:p>
            <w:pPr>
              <w:spacing w:after="40" w:before="40" w:line="240" w:lineRule="auto"/>
              <w:jc w:val="left"/>
            </w:pPr>
            <w:r>
              <w:rPr>
                <w:rFonts w:ascii="Helvetica" w:hAnsi="Helvetica" w:cs="Helvetica" w:eastAsia="Helvetica"/>
                <w:color w:val="FFC000"/>
                <w:sz w:val="17"/>
              </w:rPr>
              <w:t xml:space="preserve">●</w:t>
            </w:r>
            <w:r>
              <w:rPr>
                <w:rFonts w:ascii="Helvetica" w:hAnsi="Helvetica" w:cs="Helvetica" w:eastAsia="Helvetica"/>
                <w:color w:val="000000"/>
                <w:sz w:val="17"/>
              </w:rPr>
              <w:t xml:space="preserve"> 10</w:t>
            </w:r>
          </w:p>
        </w:tc>
        <w:tc>
          <w:tcPr>
            <w:tcW w:type="dxa" w:w="1134"/>
          </w:tcPr>
          <w:p>
            <w:pPr>
              <w:spacing w:after="40" w:before="40" w:line="240" w:lineRule="auto"/>
              <w:jc w:val="right"/>
            </w:pPr>
            <w:r>
              <w:rPr>
                <w:rFonts w:ascii="Helvetica" w:hAnsi="Helvetica" w:cs="Helvetica" w:eastAsia="Helvetica"/>
                <w:color w:val="000000"/>
                <w:sz w:val="17"/>
              </w:rPr>
              <w:t>23</w:t>
            </w:r>
          </w:p>
        </w:tc>
      </w:tr>
      <w:tr>
        <w:tc>
          <w:tcPr>
            <w:tcW w:type="dxa" w:w="624"/>
            <w:shd w:val="clear" w:color="auto" w:fill="CCCCCC"/>
          </w:tcPr>
          <w:p>
            <w:pPr>
              <w:spacing w:after="40" w:before="40" w:line="240" w:lineRule="auto"/>
              <w:jc w:val="left"/>
            </w:pPr>
            <w:r>
              <w:rPr>
                <w:rFonts w:ascii="Helvetica" w:hAnsi="Helvetica" w:cs="Helvetica" w:eastAsia="Helvetica"/>
                <w:b/>
                <w:color w:val="000000"/>
                <w:sz w:val="17"/>
              </w:rPr>
              <w:t>R7</w:t>
            </w:r>
          </w:p>
        </w:tc>
        <w:tc>
          <w:tcPr>
            <w:tcW w:type="dxa" w:w="3005"/>
            <w:shd w:val="clear" w:color="auto" w:fill="E8E8E8"/>
          </w:tcPr>
          <w:p>
            <w:pPr>
              <w:spacing w:after="40" w:before="40" w:line="240" w:lineRule="auto"/>
              <w:jc w:val="left"/>
            </w:pPr>
            <w:r>
              <w:rPr>
                <w:rFonts w:ascii="Helvetica" w:hAnsi="Helvetica" w:cs="Helvetica" w:eastAsia="Helvetica"/>
                <w:color w:val="000000"/>
                <w:sz w:val="17"/>
              </w:rPr>
              <w:t>Perdre de l'argent sur les prêts du Grenier</w:t>
            </w:r>
          </w:p>
        </w:tc>
        <w:tc>
          <w:tcPr>
            <w:tcW w:type="dxa" w:w="1304"/>
            <w:shd w:val="clear" w:color="auto" w:fill="E8E8E8"/>
          </w:tcPr>
          <w:p>
            <w:pPr>
              <w:spacing w:after="40" w:before="40" w:line="240" w:lineRule="auto"/>
              <w:jc w:val="right"/>
            </w:pPr>
            <w:r>
              <w:rPr>
                <w:rFonts w:ascii="Helvetica" w:hAnsi="Helvetica" w:cs="Helvetica" w:eastAsia="Helvetica"/>
                <w:color w:val="000000"/>
                <w:sz w:val="17"/>
              </w:rPr>
              <w:t>5</w:t>
            </w:r>
          </w:p>
        </w:tc>
        <w:tc>
          <w:tcPr>
            <w:tcW w:type="dxa" w:w="3402"/>
            <w:shd w:val="clear" w:color="auto" w:fill="E8E8E8"/>
          </w:tcPr>
          <w:p>
            <w:pPr>
              <w:spacing w:after="40" w:before="40" w:line="240" w:lineRule="auto"/>
              <w:jc w:val="left"/>
            </w:pPr>
            <w:r>
              <w:rPr>
                <w:rFonts w:ascii="Helvetica" w:hAnsi="Helvetica" w:cs="Helvetica" w:eastAsia="Helvetica"/>
                <w:color w:val="000000"/>
                <w:sz w:val="17"/>
              </w:rPr>
              <w:t>1 : 14 016 392 FCFA</w:t>
            </w:r>
          </w:p>
        </w:tc>
        <w:tc>
          <w:tcPr>
            <w:tcW w:type="dxa" w:w="964"/>
            <w:shd w:val="clear" w:color="auto" w:fill="E8E8E8"/>
          </w:tcPr>
          <w:p>
            <w:pPr>
              <w:spacing w:after="40" w:before="40" w:line="240" w:lineRule="auto"/>
              <w:jc w:val="left"/>
            </w:pPr>
            <w:r>
              <w:rPr>
                <w:rFonts w:ascii="Helvetica" w:hAnsi="Helvetica" w:cs="Helvetica" w:eastAsia="Helvetica"/>
                <w:color w:val="70AD47"/>
                <w:sz w:val="17"/>
              </w:rPr>
              <w:t xml:space="preserve">●</w:t>
            </w:r>
            <w:r>
              <w:rPr>
                <w:rFonts w:ascii="Helvetica" w:hAnsi="Helvetica" w:cs="Helvetica" w:eastAsia="Helvetica"/>
                <w:color w:val="000000"/>
                <w:sz w:val="17"/>
              </w:rPr>
              <w:t xml:space="preserve"> 5</w:t>
            </w:r>
          </w:p>
        </w:tc>
        <w:tc>
          <w:tcPr>
            <w:tcW w:type="dxa" w:w="1134"/>
            <w:shd w:val="clear" w:color="auto" w:fill="E8E8E8"/>
          </w:tcPr>
          <w:p>
            <w:pPr>
              <w:spacing w:after="40" w:before="40" w:line="240" w:lineRule="auto"/>
              <w:jc w:val="left"/>
            </w:pPr>
            <w:r>
              <w:rPr>
                <w:rFonts w:ascii="Helvetica" w:hAnsi="Helvetica" w:cs="Helvetica" w:eastAsia="Helvetica"/>
                <w:color w:val="000000"/>
                <w:sz w:val="17"/>
              </w:rPr>
              <w:t>4 et 25</w:t>
            </w:r>
          </w:p>
        </w:tc>
      </w:tr>
    </w:tbl>
    <w:p>
      <w:pPr>
        <w:spacing w:after="200"/>
        <w:jc w:val="left"/>
      </w:pPr>
      <w:r>
        <w:rPr>
          <w:rFonts w:ascii="Helvetica" w:hAnsi="Helvetica" w:cs="Helvetica" w:eastAsia="Helvetica"/>
          <w:color w:val="000000"/>
          <w:sz w:val="16"/>
        </w:rPr>
        <w:t>Source : Rapport actuariel et statistique du 23/10/2026, diapositive 24.</w:t>
      </w:r>
    </w:p>
    <w:p>
      <w:pPr>
        <w:pStyle w:val="Heading2"/>
      </w:pPr>
      <w:r>
        <w:t>4.2. LES ACTIONS SELON LEUR COMPLEXITÉ ET LEUR PRIORITÉ</w:t>
      </w:r>
    </w:p>
    <w:p>
      <w:pPr/>
      <w:r>
        <w:rPr>
          <w:rFonts w:ascii="Helvetica" w:hAnsi="Helvetica" w:cs="Helvetica" w:eastAsia="Helvetica"/>
          <w:b/>
          <w:color w:val="000000"/>
        </w:rPr>
        <w:t>Six actions sont à lancer dans les trois mois, dont une seule est simple.</w:t>
      </w:r>
      <w:r>
        <w:rPr>
          <w:rFonts w:ascii="Helvetica" w:hAnsi="Helvetica" w:cs="Helvetica" w:eastAsia="Helvetica"/>
          <w:color w:val="000000"/>
        </w:rPr>
        <w:t xml:space="preserve"> Le taux d'intérêt de l'épargne (constat 7) ne demande qu'une délibération. Les autres actions P1 demandent un travail interne ou l'accord d'un tiers : il faut les lancer tout de suite pour qu'elles aboutissent à temps.</w:t>
      </w:r>
    </w:p>
    <w:p>
      <w:pPr>
        <w:pStyle w:val="Caption"/>
        <w:keepNext/>
        <w:jc w:val="left"/>
      </w:pPr>
      <w:r>
        <w:rPr>
          <w:rFonts w:ascii="Helvetica" w:hAnsi="Helvetica" w:cs="Helvetica" w:eastAsia="Helvetica"/>
          <w:b/>
          <w:color w:val="000000"/>
          <w:sz w:val="20"/>
        </w:rPr>
        <w:t xml:space="preserve">Figure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Figure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8</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Les 28 constats selon la complexité de l'action et sa priorité (numéros des constats)</w:t>
      </w:r>
    </w:p>
    <w:tbl>
      <w:tblPr>
        <w:tblW w:type="auto" w:w="0"/>
        <w:jc w:val="center"/>
        <w:tblBorders>
          <w:top w:val="single" w:sz="12" w:color="FFFFFF"/>
          <w:left w:val="single" w:sz="12" w:color="FFFFFF"/>
          <w:bottom w:val="single" w:sz="12" w:color="FFFFFF"/>
          <w:right w:val="single" w:sz="12" w:color="FFFFFF"/>
          <w:insideH w:val="single" w:sz="12" w:color="FFFFFF"/>
          <w:insideV w:val="single" w:sz="12" w:color="FFFFFF"/>
        </w:tblBorders>
        <w:tblLook w:firstColumn="1" w:firstRow="1" w:lastColumn="0" w:lastRow="0" w:noHBand="0" w:noVBand="1" w:val="04A0"/>
        <w:tblLayout w:type="fixed"/>
      </w:tblPr>
      <w:tblGrid>
        <w:gridCol w:w="2041"/>
        <w:gridCol w:w="2098"/>
        <w:gridCol w:w="2098"/>
        <w:gridCol w:w="2098"/>
        <w:gridCol w:w="2098"/>
      </w:tblGrid>
      <w:tr>
        <w:trPr>
          <w:trHeight w:val="737"/>
        </w:trPr>
        <w:tc>
          <w:tcPr>
            <w:tcW w:type="dxa" w:w="2041"/>
            <w:vAlign w:val="center"/>
            <w:shd w:val="clear" w:color="auto" w:fill="060606"/>
          </w:tcPr>
          <w:p>
            <w:pPr>
              <w:spacing w:after="40" w:before="40" w:line="252" w:lineRule="auto"/>
              <w:jc w:val="center"/>
            </w:pPr>
            <w:r>
              <w:rPr>
                <w:rFonts w:ascii="Helvetica" w:hAnsi="Helvetica" w:cs="Helvetica" w:eastAsia="Helvetica"/>
                <w:b/>
                <w:color w:val="FFFFFF"/>
                <w:sz w:val="20"/>
              </w:rPr>
              <w:t>Complexité \ Priorité</w:t>
            </w:r>
          </w:p>
        </w:tc>
        <w:tc>
          <w:tcPr>
            <w:tcW w:type="dxa" w:w="2098"/>
            <w:vAlign w:val="center"/>
            <w:shd w:val="clear" w:color="auto" w:fill="060606"/>
          </w:tcPr>
          <w:p>
            <w:pPr>
              <w:spacing w:after="40" w:before="40" w:line="252" w:lineRule="auto"/>
              <w:jc w:val="center"/>
            </w:pPr>
            <w:r>
              <w:rPr>
                <w:rFonts w:ascii="Helvetica" w:hAnsi="Helvetica" w:cs="Helvetica" w:eastAsia="Helvetica"/>
                <w:b/>
                <w:color w:val="C00000"/>
                <w:sz w:val="20"/>
              </w:rPr>
              <w:t xml:space="preserve">●</w:t>
            </w:r>
            <w:r>
              <w:rPr>
                <w:rFonts w:ascii="Helvetica" w:hAnsi="Helvetica" w:cs="Helvetica" w:eastAsia="Helvetica"/>
                <w:b/>
                <w:color w:val="FFFFFF"/>
                <w:sz w:val="20"/>
              </w:rPr>
              <w:t xml:space="preserve"> P1 (3 mois)</w:t>
            </w:r>
          </w:p>
        </w:tc>
        <w:tc>
          <w:tcPr>
            <w:tcW w:type="dxa" w:w="2098"/>
            <w:vAlign w:val="center"/>
            <w:shd w:val="clear" w:color="auto" w:fill="060606"/>
          </w:tcPr>
          <w:p>
            <w:pPr>
              <w:spacing w:after="40" w:before="40" w:line="252" w:lineRule="auto"/>
              <w:jc w:val="center"/>
            </w:pPr>
            <w:r>
              <w:rPr>
                <w:rFonts w:ascii="Helvetica" w:hAnsi="Helvetica" w:cs="Helvetica" w:eastAsia="Helvetica"/>
                <w:b/>
                <w:color w:val="ED7D31"/>
                <w:sz w:val="20"/>
              </w:rPr>
              <w:t xml:space="preserve">●</w:t>
            </w:r>
            <w:r>
              <w:rPr>
                <w:rFonts w:ascii="Helvetica" w:hAnsi="Helvetica" w:cs="Helvetica" w:eastAsia="Helvetica"/>
                <w:b/>
                <w:color w:val="FFFFFF"/>
                <w:sz w:val="20"/>
              </w:rPr>
              <w:t xml:space="preserve"> P2 (6 mois)</w:t>
            </w:r>
          </w:p>
        </w:tc>
        <w:tc>
          <w:tcPr>
            <w:tcW w:type="dxa" w:w="2098"/>
            <w:vAlign w:val="center"/>
            <w:shd w:val="clear" w:color="auto" w:fill="060606"/>
          </w:tcPr>
          <w:p>
            <w:pPr>
              <w:spacing w:after="40" w:before="40" w:line="252" w:lineRule="auto"/>
              <w:jc w:val="center"/>
            </w:pPr>
            <w:r>
              <w:rPr>
                <w:rFonts w:ascii="Helvetica" w:hAnsi="Helvetica" w:cs="Helvetica" w:eastAsia="Helvetica"/>
                <w:b/>
                <w:color w:val="FFC000"/>
                <w:sz w:val="20"/>
              </w:rPr>
              <w:t xml:space="preserve">●</w:t>
            </w:r>
            <w:r>
              <w:rPr>
                <w:rFonts w:ascii="Helvetica" w:hAnsi="Helvetica" w:cs="Helvetica" w:eastAsia="Helvetica"/>
                <w:b/>
                <w:color w:val="FFFFFF"/>
                <w:sz w:val="20"/>
              </w:rPr>
              <w:t xml:space="preserve"> P3 (6 à 18 mois)</w:t>
            </w:r>
          </w:p>
        </w:tc>
        <w:tc>
          <w:tcPr>
            <w:tcW w:type="dxa" w:w="2098"/>
            <w:vAlign w:val="center"/>
            <w:shd w:val="clear" w:color="auto" w:fill="060606"/>
          </w:tcPr>
          <w:p>
            <w:pPr>
              <w:spacing w:after="40" w:before="40" w:line="252" w:lineRule="auto"/>
              <w:jc w:val="center"/>
            </w:pPr>
            <w:r>
              <w:rPr>
                <w:rFonts w:ascii="Helvetica" w:hAnsi="Helvetica" w:cs="Helvetica" w:eastAsia="Helvetica"/>
                <w:b/>
                <w:color w:val="70AD47"/>
                <w:sz w:val="20"/>
              </w:rPr>
              <w:t xml:space="preserve">●</w:t>
            </w:r>
            <w:r>
              <w:rPr>
                <w:rFonts w:ascii="Helvetica" w:hAnsi="Helvetica" w:cs="Helvetica" w:eastAsia="Helvetica"/>
                <w:b/>
                <w:color w:val="FFFFFF"/>
                <w:sz w:val="20"/>
              </w:rPr>
              <w:t xml:space="preserve"> P4 (au-delà)</w:t>
            </w:r>
          </w:p>
        </w:tc>
      </w:tr>
      <w:tr>
        <w:trPr>
          <w:trHeight w:val="737"/>
        </w:trPr>
        <w:tc>
          <w:tcPr>
            <w:tcW w:type="dxa" w:w="2041"/>
            <w:vAlign w:val="center"/>
            <w:shd w:val="clear" w:color="auto" w:fill="F2F2F2"/>
          </w:tcPr>
          <w:p>
            <w:pPr>
              <w:spacing w:after="40" w:before="40" w:line="252" w:lineRule="auto"/>
              <w:jc w:val="center"/>
            </w:pPr>
            <w:r>
              <w:rPr>
                <w:rFonts w:ascii="Helvetica" w:hAnsi="Helvetica" w:cs="Helvetica" w:eastAsia="Helvetica"/>
                <w:b/>
                <w:sz w:val="20"/>
              </w:rPr>
              <w:t>Faible</w:t>
            </w:r>
          </w:p>
        </w:tc>
        <w:tc>
          <w:tcPr>
            <w:tcW w:type="dxa" w:w="2098"/>
            <w:vAlign w:val="center"/>
            <w:shd w:val="clear" w:color="auto" w:fill="F4CCCC"/>
          </w:tcPr>
          <w:p>
            <w:pPr>
              <w:spacing w:after="40" w:before="40" w:line="252" w:lineRule="auto"/>
              <w:jc w:val="center"/>
            </w:pPr>
            <w:r>
              <w:rPr>
                <w:rFonts w:ascii="Helvetica" w:hAnsi="Helvetica" w:cs="Helvetica" w:eastAsia="Helvetica"/>
                <w:sz w:val="20"/>
              </w:rPr>
              <w:t>7</w:t>
            </w:r>
          </w:p>
        </w:tc>
        <w:tc>
          <w:tcPr>
            <w:tcW w:type="dxa" w:w="2098"/>
            <w:vAlign w:val="center"/>
            <w:shd w:val="clear" w:color="auto" w:fill="FCE5CD"/>
          </w:tcPr>
          <w:p>
            <w:pPr>
              <w:spacing w:after="40" w:before="40" w:line="252" w:lineRule="auto"/>
              <w:jc w:val="center"/>
            </w:pPr>
            <w:r>
              <w:rPr>
                <w:rFonts w:ascii="Helvetica" w:hAnsi="Helvetica" w:cs="Helvetica" w:eastAsia="Helvetica"/>
                <w:sz w:val="20"/>
              </w:rPr>
              <w:t>3, 9, 20, 24</w:t>
            </w:r>
          </w:p>
        </w:tc>
        <w:tc>
          <w:tcPr>
            <w:tcW w:type="dxa" w:w="2098"/>
            <w:vAlign w:val="center"/>
            <w:shd w:val="clear" w:color="auto" w:fill="FFF2CC"/>
          </w:tcPr>
          <w:p>
            <w:pPr>
              <w:spacing w:after="40" w:before="40" w:line="252" w:lineRule="auto"/>
              <w:jc w:val="center"/>
            </w:pPr>
            <w:r>
              <w:rPr>
                <w:rFonts w:ascii="Helvetica" w:hAnsi="Helvetica" w:cs="Helvetica" w:eastAsia="Helvetica"/>
                <w:sz w:val="20"/>
              </w:rPr>
              <w:t>4, 13, 18, 28</w:t>
            </w:r>
          </w:p>
        </w:tc>
        <w:tc>
          <w:tcPr>
            <w:tcW w:type="dxa" w:w="2098"/>
            <w:vAlign w:val="center"/>
            <w:shd w:val="clear" w:color="auto" w:fill="D9EAD3"/>
          </w:tcPr>
          <w:p>
            <w:pPr>
              <w:spacing w:after="40" w:before="40" w:line="252" w:lineRule="auto"/>
              <w:jc w:val="center"/>
            </w:pPr>
            <w:r>
              <w:rPr>
                <w:rFonts w:ascii="Helvetica" w:hAnsi="Helvetica" w:cs="Helvetica" w:eastAsia="Helvetica"/>
                <w:sz w:val="20"/>
              </w:rPr>
              <w:t>5</w:t>
            </w:r>
          </w:p>
        </w:tc>
      </w:tr>
      <w:tr>
        <w:trPr>
          <w:trHeight w:val="737"/>
        </w:trPr>
        <w:tc>
          <w:tcPr>
            <w:tcW w:type="dxa" w:w="2041"/>
            <w:vAlign w:val="center"/>
            <w:shd w:val="clear" w:color="auto" w:fill="F2F2F2"/>
          </w:tcPr>
          <w:p>
            <w:pPr>
              <w:spacing w:after="40" w:before="40" w:line="252" w:lineRule="auto"/>
              <w:jc w:val="center"/>
            </w:pPr>
            <w:r>
              <w:rPr>
                <w:rFonts w:ascii="Helvetica" w:hAnsi="Helvetica" w:cs="Helvetica" w:eastAsia="Helvetica"/>
                <w:b/>
                <w:sz w:val="20"/>
              </w:rPr>
              <w:t>Moyenne</w:t>
            </w:r>
          </w:p>
        </w:tc>
        <w:tc>
          <w:tcPr>
            <w:tcW w:type="dxa" w:w="2098"/>
            <w:vAlign w:val="center"/>
            <w:shd w:val="clear" w:color="auto" w:fill="F4CCCC"/>
          </w:tcPr>
          <w:p>
            <w:pPr>
              <w:spacing w:after="40" w:before="40" w:line="252" w:lineRule="auto"/>
              <w:jc w:val="center"/>
            </w:pPr>
            <w:r>
              <w:rPr>
                <w:rFonts w:ascii="Helvetica" w:hAnsi="Helvetica" w:cs="Helvetica" w:eastAsia="Helvetica"/>
                <w:sz w:val="20"/>
              </w:rPr>
              <w:t>1, 6, 26</w:t>
            </w:r>
          </w:p>
        </w:tc>
        <w:tc>
          <w:tcPr>
            <w:tcW w:type="dxa" w:w="2098"/>
            <w:vAlign w:val="center"/>
            <w:shd w:val="clear" w:color="auto" w:fill="FCE5CD"/>
          </w:tcPr>
          <w:p>
            <w:pPr>
              <w:spacing w:after="40" w:before="40" w:line="252" w:lineRule="auto"/>
              <w:jc w:val="center"/>
            </w:pPr>
            <w:r>
              <w:rPr>
                <w:rFonts w:ascii="Helvetica" w:hAnsi="Helvetica" w:cs="Helvetica" w:eastAsia="Helvetica"/>
                <w:sz w:val="20"/>
              </w:rPr>
              <w:t>2, 10, 15, 17, 21, 23, 27</w:t>
            </w:r>
          </w:p>
        </w:tc>
        <w:tc>
          <w:tcPr>
            <w:tcW w:type="dxa" w:w="2098"/>
            <w:vAlign w:val="center"/>
            <w:shd w:val="clear" w:color="auto" w:fill="FFF2CC"/>
          </w:tcPr>
          <w:p>
            <w:pPr>
              <w:spacing w:after="40" w:before="40" w:line="252" w:lineRule="auto"/>
              <w:jc w:val="center"/>
            </w:pPr>
            <w:r>
              <w:rPr>
                <w:rFonts w:ascii="Helvetica" w:hAnsi="Helvetica" w:cs="Helvetica" w:eastAsia="Helvetica"/>
                <w:sz w:val="20"/>
              </w:rPr>
              <w:t>16, 22, 25</w:t>
            </w:r>
          </w:p>
        </w:tc>
        <w:tc>
          <w:tcPr>
            <w:tcW w:type="dxa" w:w="2098"/>
            <w:vAlign w:val="center"/>
            <w:shd w:val="clear" w:color="auto" w:fill="D9EAD3"/>
          </w:tcPr>
          <w:p>
            <w:pPr>
              <w:spacing w:after="40" w:before="40" w:line="252" w:lineRule="auto"/>
              <w:jc w:val="center"/>
            </w:pPr>
          </w:p>
        </w:tc>
      </w:tr>
      <w:tr>
        <w:trPr>
          <w:trHeight w:val="737"/>
        </w:trPr>
        <w:tc>
          <w:tcPr>
            <w:tcW w:type="dxa" w:w="2041"/>
            <w:vAlign w:val="center"/>
            <w:shd w:val="clear" w:color="auto" w:fill="F2F2F2"/>
          </w:tcPr>
          <w:p>
            <w:pPr>
              <w:spacing w:after="40" w:before="40" w:line="252" w:lineRule="auto"/>
              <w:jc w:val="center"/>
            </w:pPr>
            <w:r>
              <w:rPr>
                <w:rFonts w:ascii="Helvetica" w:hAnsi="Helvetica" w:cs="Helvetica" w:eastAsia="Helvetica"/>
                <w:b/>
                <w:sz w:val="20"/>
              </w:rPr>
              <w:t>Élevée</w:t>
            </w:r>
          </w:p>
        </w:tc>
        <w:tc>
          <w:tcPr>
            <w:tcW w:type="dxa" w:w="2098"/>
            <w:vAlign w:val="center"/>
            <w:shd w:val="clear" w:color="auto" w:fill="F4CCCC"/>
          </w:tcPr>
          <w:p>
            <w:pPr>
              <w:spacing w:after="40" w:before="40" w:line="252" w:lineRule="auto"/>
              <w:jc w:val="center"/>
            </w:pPr>
            <w:r>
              <w:rPr>
                <w:rFonts w:ascii="Helvetica" w:hAnsi="Helvetica" w:cs="Helvetica" w:eastAsia="Helvetica"/>
                <w:sz w:val="20"/>
              </w:rPr>
              <w:t>11, 14</w:t>
            </w:r>
          </w:p>
        </w:tc>
        <w:tc>
          <w:tcPr>
            <w:tcW w:type="dxa" w:w="2098"/>
            <w:vAlign w:val="center"/>
            <w:shd w:val="clear" w:color="auto" w:fill="FCE5CD"/>
          </w:tcPr>
          <w:p>
            <w:pPr>
              <w:spacing w:after="40" w:before="40" w:line="252" w:lineRule="auto"/>
              <w:jc w:val="center"/>
            </w:pPr>
            <w:r>
              <w:rPr>
                <w:rFonts w:ascii="Helvetica" w:hAnsi="Helvetica" w:cs="Helvetica" w:eastAsia="Helvetica"/>
                <w:sz w:val="20"/>
              </w:rPr>
              <w:t>8, 12, 19</w:t>
            </w:r>
          </w:p>
        </w:tc>
        <w:tc>
          <w:tcPr>
            <w:tcW w:type="dxa" w:w="2098"/>
            <w:vAlign w:val="center"/>
            <w:shd w:val="clear" w:color="auto" w:fill="FFF2CC"/>
          </w:tcPr>
          <w:p>
            <w:pPr>
              <w:spacing w:after="40" w:before="40" w:line="252" w:lineRule="auto"/>
              <w:jc w:val="center"/>
            </w:pPr>
          </w:p>
        </w:tc>
        <w:tc>
          <w:tcPr>
            <w:tcW w:type="dxa" w:w="2098"/>
            <w:vAlign w:val="center"/>
            <w:shd w:val="clear" w:color="auto" w:fill="D9EAD3"/>
          </w:tcPr>
          <w:p>
            <w:pPr>
              <w:spacing w:after="40" w:before="40" w:line="252" w:lineRule="auto"/>
              <w:jc w:val="center"/>
            </w:pPr>
          </w:p>
        </w:tc>
      </w:tr>
    </w:tbl>
    <w:p>
      <w:pPr>
        <w:spacing w:after="200"/>
        <w:jc w:val="left"/>
      </w:pPr>
      <w:r>
        <w:rPr>
          <w:rFonts w:ascii="Helvetica" w:hAnsi="Helvetica" w:cs="Helvetica" w:eastAsia="Helvetica"/>
          <w:color w:val="000000"/>
          <w:sz w:val="16"/>
        </w:rPr>
        <w:t>Source : Adenka. En haut à gauche : actions urgentes et simples, à lancer tout de suite.</w:t>
      </w:r>
    </w:p>
    <w:p w14:paraId="1CB0F08F" w14:textId="77777777" w:rsidR="006F0CB0" w:rsidRDefault="006F0CB0" w:rsidP="006F0CB0">
      <w:pPr>
        <w:pStyle w:val="Heading1"/>
        <w:spacing w:before="100" w:after="100"/>
        <w:sectPr w:rsidR="006F0CB0" w:rsidSect="00A24B2D">
          <w:pgSz w:w="11906" w:h="16838"/>
          <w:pgMar w:top="720" w:right="720" w:bottom="720" w:left="720" w:header="708" w:footer="708" w:gutter="0"/>
          <w:cols w:space="708"/>
          <w:docGrid w:linePitch="360"/>
        </w:sectPr>
      </w:pPr>
    </w:p>
    <w:p w14:paraId="3E26D7F2" w14:textId="337516F2" w:rsidR="00DD04E3" w:rsidRDefault="003A63CB" w:rsidP="00726C7B">
      <w:r>
        <w:rPr>
          <w:noProof/>
        </w:rPr>
        <mc:AlternateContent>
          <mc:Choice Requires="wps">
            <w:drawing>
              <wp:anchor distT="0" distB="0" distL="114300" distR="114300" simplePos="0" relativeHeight="251658274" behindDoc="0" locked="0" layoutInCell="1" allowOverlap="1" wp14:anchorId="0240CFDF" wp14:editId="1EA7B570">
                <wp:simplePos x="0" y="0"/>
                <wp:positionH relativeFrom="margin">
                  <wp:align>center</wp:align>
                </wp:positionH>
                <wp:positionV relativeFrom="paragraph">
                  <wp:posOffset>-1962785</wp:posOffset>
                </wp:positionV>
                <wp:extent cx="4320000" cy="7010400"/>
                <wp:effectExtent l="0" t="0" r="0" b="0"/>
                <wp:wrapNone/>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320000" cy="7010400"/>
                        </a:xfrm>
                        <a:prstGeom prst="roundRect">
                          <a:avLst>
                            <a:gd name="adj" fmla="val 21502"/>
                          </a:avLst>
                        </a:prstGeom>
                        <a:noFill/>
                      </wps:spPr>
                      <wps:txb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5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RÉCAPITULATIF, LIMITES ET SUITE</w:t>
                            </w:r>
                          </w:p>
                        </w:txbxContent>
                      </wps:txbx>
                      <wps:bodyPr rot="0" vert="horz" wrap="square" lIns="91440" tIns="45720" rIns="91440" bIns="45720" anchor="ctr" anchorCtr="0" upright="1">
                        <a:noAutofit/>
                      </wps:bodyPr>
                    </wps:wsp>
                  </a:graphicData>
                </a:graphic>
              </wp:anchor>
            </w:drawing>
          </mc:Choice>
          <mc:Fallback>
            <w:pict>
              <v:roundrect w14:anchorId="0240CFDF" id="Forme automatique 2" o:spid="_x0000_s1033" style="position:absolute;left:0;text-align:left;margin-left:0;margin-top:-154.55pt;width:133.2pt;height:552pt;rotation:90;z-index:251658274;visibility:visible;mso-wrap-style:square;mso-wrap-distance-left:9pt;mso-wrap-distance-top:0;mso-wrap-distance-right:9pt;mso-wrap-distance-bottom:0;mso-position-horizontal:center;mso-position-horizontal-relative:margin;mso-position-vertical:absolute;mso-position-vertical-relative:text;v-text-anchor:middle" arcsize="140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" filled="f" stroked="f">
                <v:textbo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5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RÉCAPITULATIF, LIMITES ET SUITE</w:t>
                      </w:r>
                    </w:p>
                  </w:txbxContent>
                </v:textbox>
                <w10:wrap type="square" anchorx="margin"/>
              </v:roundrect>
            </w:pict>
          </mc:Fallback>
        </mc:AlternateContent>
      </w:r>
      <w:r w:rsidR="00926010">
        <w:rPr>
          <w:noProof/>
          <w14:ligatures w14:val="standardContextual"/>
        </w:rPr>
        <mc:AlternateContent>
          <mc:Choice Requires="wps">
            <w:drawing>
              <wp:anchor distT="0" distB="0" distL="114300" distR="114300" simplePos="0" relativeHeight="251658242" behindDoc="0" locked="0" layoutInCell="1" allowOverlap="1" wp14:anchorId="140E49DA" wp14:editId="17A22642">
                <wp:simplePos x="0" y="0"/>
                <wp:positionH relativeFrom="column">
                  <wp:posOffset>-480060</wp:posOffset>
                </wp:positionH>
                <wp:positionV relativeFrom="paragraph">
                  <wp:posOffset>-510540</wp:posOffset>
                </wp:positionV>
                <wp:extent cx="7574280" cy="10751820"/>
                <wp:effectExtent l="0" t="0" r="26670" b="11430"/>
                <wp:wrapNone/>
                <wp:docPr id="613672107" name="Rectangle 10"/>
                <wp:cNvGraphicFramePr/>
                <a:graphic xmlns:a="http://schemas.openxmlformats.org/drawingml/2006/main">
                  <a:graphicData uri="http://schemas.microsoft.com/office/word/2010/wordprocessingShape">
                    <wps:wsp>
                      <wps:cNvSpPr/>
                      <wps:spPr>
                        <a:xfrm>
                          <a:off x="0" y="0"/>
                          <a:ext cx="7574280" cy="107518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E9B7977" id="Rectangle 10" o:spid="_x0000_s1026" style="position:absolute;margin-left:-37.8pt;margin-top:-40.2pt;width:596.4pt;height:846.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" fillcolor="black [3200]" strokecolor="black [480]" strokeweight="1.5pt"/>
            </w:pict>
          </mc:Fallback>
        </mc:AlternateContent>
      </w:r>
    </w:p>
    <w:p w14:paraId="29A5A8FC" w14:textId="0772451F" w:rsidR="00DD04E3" w:rsidRPr="00DD04E3" w:rsidRDefault="00DD04E3" w:rsidP="00DD04E3"/>
    <w:p w14:paraId="54310350" w14:textId="03E1B19F" w:rsidR="00DD04E3" w:rsidRPr="00DD04E3" w:rsidRDefault="00DD04E3" w:rsidP="00DD04E3"/>
    <w:p w14:paraId="2C2F6B9F" w14:textId="505262C9" w:rsidR="00DD04E3" w:rsidRPr="00DD04E3" w:rsidRDefault="003837AF" w:rsidP="00DD04E3">
      <w:r w:rsidRPr="00AA366B">
        <w:rPr>
          <w:noProof/>
        </w:rPr>
        <w:drawing>
          <wp:anchor distT="0" distB="0" distL="114300" distR="114300" simplePos="0" relativeHeight="251658267" behindDoc="0" locked="0" layoutInCell="1" allowOverlap="1" wp14:anchorId="2ADCBFCC" wp14:editId="1EA4A307">
            <wp:simplePos x="0" y="0"/>
            <wp:positionH relativeFrom="page">
              <wp:align>left</wp:align>
            </wp:positionH>
            <wp:positionV relativeFrom="paragraph">
              <wp:posOffset>167282</wp:posOffset>
            </wp:positionV>
            <wp:extent cx="7548880" cy="7259894"/>
            <wp:effectExtent l="0" t="0" r="0" b="0"/>
            <wp:wrapNone/>
            <wp:docPr id="1746398683" name="Image 15">
              <a:extLst xmlns:a="http://schemas.openxmlformats.org/drawingml/2006/main">
                <a:ext uri="{FF2B5EF4-FFF2-40B4-BE49-F238E27FC236}">
                  <a16:creationId xmlns:a16="http://schemas.microsoft.com/office/drawing/2014/main" id="{C8AC2246-CCF0-4C0C-B1BE-88C1E8DADC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pic:cNvPicPr>
                      <a:picLocks noChangeAspect="1"/>
                    </pic:cNvPicPr>
                  </pic:nvPicPr>
                  <pic:blipFill rotWithShape="1">
                    <a:blip r:embed="rId13" cstate="print">
                      <a:extLst>
                        <a:ext uri="{28A0092B-C50C-407E-A947-70E740481C1C}">
                          <a14:useLocalDpi xmlns:a14="http://schemas.microsoft.com/office/drawing/2010/main" val="0"/>
                        </a:ext>
                      </a:extLst>
                    </a:blip>
                    <a:srcRect l="-175" t="524" r="-2445" b="9082"/>
                    <a:stretch/>
                  </pic:blipFill>
                  <pic:spPr>
                    <a:xfrm>
                      <a:off x="0" y="0"/>
                      <a:ext cx="7548880" cy="7259894"/>
                    </a:xfrm>
                    <a:prstGeom prst="rect">
                      <a:avLst/>
                    </a:prstGeom>
                  </pic:spPr>
                </pic:pic>
              </a:graphicData>
            </a:graphic>
            <wp14:sizeRelH relativeFrom="margin">
              <wp14:pctWidth>0</wp14:pctWidth>
            </wp14:sizeRelH>
            <wp14:sizeRelV relativeFrom="margin">
              <wp14:pctHeight>0</wp14:pctHeight>
            </wp14:sizeRelV>
          </wp:anchor>
        </w:drawing>
      </w:r>
    </w:p>
    <w:p w14:paraId="70F74645" w14:textId="6F9E7C4C" w:rsidR="00DD04E3" w:rsidRPr="00DD04E3" w:rsidRDefault="00DD04E3" w:rsidP="00DD04E3"/>
    <w:p w14:paraId="637B0362" w14:textId="253E5702" w:rsidR="00DD04E3" w:rsidRPr="00DD04E3" w:rsidRDefault="00DD04E3" w:rsidP="00DD04E3"/>
    <w:p w14:paraId="34F038D6" w14:textId="1AAD29FE" w:rsidR="00DD04E3" w:rsidRPr="00DD04E3" w:rsidRDefault="00DD04E3" w:rsidP="00DD04E3"/>
    <w:p w14:paraId="540BCDAD" w14:textId="7FFC1DA8" w:rsidR="00DD04E3" w:rsidRPr="00DD04E3" w:rsidRDefault="00DD04E3" w:rsidP="00DD04E3"/>
    <w:p w14:paraId="62A538EF" w14:textId="19AAF6CF" w:rsidR="00DD04E3" w:rsidRPr="00DD04E3" w:rsidRDefault="00DD04E3" w:rsidP="00DD04E3"/>
    <w:p w14:paraId="6B21056D" w14:textId="70B266D0" w:rsidR="00DD04E3" w:rsidRPr="00DD04E3" w:rsidRDefault="00DD04E3" w:rsidP="00DD04E3"/>
    <w:p w14:paraId="0803D8BE" w14:textId="7ACBC061" w:rsidR="00DD04E3" w:rsidRPr="00DD04E3" w:rsidRDefault="00DD04E3" w:rsidP="00DD04E3"/>
    <w:p w14:paraId="5CCF2E8E" w14:textId="426E6CC9" w:rsidR="00DD04E3" w:rsidRPr="00DD04E3" w:rsidRDefault="00DD04E3" w:rsidP="00DD04E3"/>
    <w:p w14:paraId="2C7A88BD" w14:textId="77777777" w:rsidR="00DD04E3" w:rsidRPr="00DD04E3" w:rsidRDefault="00DD04E3" w:rsidP="00DD04E3"/>
    <w:p w14:paraId="6C8AEE97" w14:textId="77777777" w:rsidR="00DD04E3" w:rsidRPr="00DD04E3" w:rsidRDefault="00DD04E3" w:rsidP="00DD04E3"/>
    <w:p w14:paraId="193F1F69" w14:textId="77777777" w:rsidR="00DD04E3" w:rsidRPr="00DD04E3" w:rsidRDefault="00DD04E3" w:rsidP="00DD04E3"/>
    <w:p w14:paraId="3E78C07D" w14:textId="77777777" w:rsidR="00DD04E3" w:rsidRPr="00DD04E3" w:rsidRDefault="00DD04E3" w:rsidP="00DD04E3"/>
    <w:p w14:paraId="1833AA50" w14:textId="463C0184" w:rsidR="00DD04E3" w:rsidRPr="00DD04E3" w:rsidRDefault="00DD04E3" w:rsidP="00DD04E3">
      <w:pPr>
        <w:tabs>
          <w:tab w:val="left" w:pos="3384"/>
        </w:tabs>
      </w:pPr>
      <w:r>
        <w:tab/>
      </w:r>
    </w:p>
    <w:p w14:paraId="1A14F53F" w14:textId="77777777" w:rsidR="00DD04E3" w:rsidRPr="00DD04E3" w:rsidRDefault="00DD04E3" w:rsidP="00DD04E3"/>
    <w:p w14:paraId="794C1888" w14:textId="77777777" w:rsidR="00DD04E3" w:rsidRPr="00DD04E3" w:rsidRDefault="00DD04E3" w:rsidP="00DD04E3"/>
    <w:p w14:paraId="3D57E509" w14:textId="77777777" w:rsidR="00DD04E3" w:rsidRPr="00DD04E3" w:rsidRDefault="00DD04E3" w:rsidP="00DD04E3"/>
    <w:p w14:paraId="75AB4326" w14:textId="77777777" w:rsidR="00DD04E3" w:rsidRPr="00DD04E3" w:rsidRDefault="00DD04E3" w:rsidP="00DD04E3"/>
    <w:p w14:paraId="242B9CEF" w14:textId="77777777" w:rsidR="00DD04E3" w:rsidRPr="00DD04E3" w:rsidRDefault="00DD04E3" w:rsidP="00DD04E3">
      <w:pPr>
        <w:sectPr w:rsidR="00DD04E3" w:rsidRPr="00DD04E3" w:rsidSect="00A24B2D">
          <w:pgSz w:w="11906" w:h="16838"/>
          <w:pgMar w:top="720" w:right="720" w:bottom="720" w:left="720" w:header="708" w:footer="708" w:gutter="0"/>
          <w:cols w:space="708"/>
          <w:docGrid w:linePitch="360"/>
        </w:sectPr>
      </w:pPr>
    </w:p>
    <w:p>
      <w:pPr>
        <w:pStyle w:val="Heading1"/>
      </w:pPr>
      <w:r>
        <w:t>PARTIE 5 : RÉCAPITULATIF, LIMITES ET SUITE</w:t>
      </w:r>
    </w:p>
    <w:p>
      <w:pPr/>
      <w:r>
        <w:rPr>
          <w:rFonts w:ascii="Helvetica" w:hAnsi="Helvetica" w:cs="Helvetica" w:eastAsia="Helvetica"/>
          <w:color w:val="000000"/>
        </w:rPr>
        <w:t>Cette partie récapitule tous les constats, dit ce qui n'a pas encore pu être vérifié et présente les prochaines étapes.</w:t>
      </w:r>
    </w:p>
    <w:p>
      <w:pPr>
        <w:pStyle w:val="Heading2"/>
      </w:pPr>
      <w:r>
        <w:t>5.1. TABLEAU RÉCAPITULATIF DES CONSTATS ET DES ACTIONS</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4</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Les 28 constats et leur action principale, par priorité</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567"/>
        <w:gridCol w:w="3175"/>
        <w:gridCol w:w="4422"/>
        <w:gridCol w:w="1134"/>
        <w:gridCol w:w="1134"/>
      </w:tblGrid>
      <w:tr>
        <w:trPr>
          <w:tblHeader/>
        </w:trPr>
        <w:tc>
          <w:tcPr>
            <w:tcW w:type="dxa" w:w="567"/>
            <w:shd w:val="clear" w:color="auto" w:fill="000000"/>
          </w:tcPr>
          <w:p>
            <w:pPr>
              <w:spacing w:after="40" w:before="40" w:line="240" w:lineRule="auto"/>
              <w:jc w:val="left"/>
            </w:pPr>
            <w:r>
              <w:rPr>
                <w:rFonts w:ascii="Helvetica" w:hAnsi="Helvetica" w:cs="Helvetica" w:eastAsia="Helvetica"/>
                <w:b/>
                <w:color w:val="FFFFFF"/>
                <w:sz w:val="16"/>
              </w:rPr>
              <w:t>N°</w:t>
            </w:r>
          </w:p>
        </w:tc>
        <w:tc>
          <w:tcPr>
            <w:tcW w:type="dxa" w:w="3175"/>
            <w:shd w:val="clear" w:color="auto" w:fill="000000"/>
          </w:tcPr>
          <w:p>
            <w:pPr>
              <w:spacing w:after="40" w:before="40" w:line="240" w:lineRule="auto"/>
              <w:jc w:val="center"/>
            </w:pPr>
            <w:r>
              <w:rPr>
                <w:rFonts w:ascii="Helvetica" w:hAnsi="Helvetica" w:cs="Helvetica" w:eastAsia="Helvetica"/>
                <w:b/>
                <w:color w:val="FFFFFF"/>
                <w:sz w:val="16"/>
              </w:rPr>
              <w:t>Constat</w:t>
            </w:r>
          </w:p>
        </w:tc>
        <w:tc>
          <w:tcPr>
            <w:tcW w:type="dxa" w:w="4422"/>
            <w:shd w:val="clear" w:color="auto" w:fill="000000"/>
          </w:tcPr>
          <w:p>
            <w:pPr>
              <w:spacing w:after="40" w:before="40" w:line="240" w:lineRule="auto"/>
              <w:jc w:val="center"/>
            </w:pPr>
            <w:r>
              <w:rPr>
                <w:rFonts w:ascii="Helvetica" w:hAnsi="Helvetica" w:cs="Helvetica" w:eastAsia="Helvetica"/>
                <w:b/>
                <w:color w:val="FFFFFF"/>
                <w:sz w:val="16"/>
              </w:rPr>
              <w:t>Action principale</w:t>
            </w:r>
          </w:p>
        </w:tc>
        <w:tc>
          <w:tcPr>
            <w:tcW w:type="dxa" w:w="1134"/>
            <w:shd w:val="clear" w:color="auto" w:fill="000000"/>
          </w:tcPr>
          <w:p>
            <w:pPr>
              <w:spacing w:after="40" w:before="40" w:line="240" w:lineRule="auto"/>
              <w:jc w:val="center"/>
            </w:pPr>
            <w:r>
              <w:rPr>
                <w:rFonts w:ascii="Helvetica" w:hAnsi="Helvetica" w:cs="Helvetica" w:eastAsia="Helvetica"/>
                <w:b/>
                <w:color w:val="FFFFFF"/>
                <w:sz w:val="16"/>
              </w:rPr>
              <w:t>Complexité</w:t>
            </w:r>
          </w:p>
        </w:tc>
        <w:tc>
          <w:tcPr>
            <w:tcW w:type="dxa" w:w="1134"/>
            <w:shd w:val="clear" w:color="auto" w:fill="000000"/>
          </w:tcPr>
          <w:p>
            <w:pPr>
              <w:spacing w:after="40" w:before="40" w:line="240" w:lineRule="auto"/>
              <w:jc w:val="center"/>
            </w:pPr>
            <w:r>
              <w:rPr>
                <w:rFonts w:ascii="Helvetica" w:hAnsi="Helvetica" w:cs="Helvetica" w:eastAsia="Helvetica"/>
                <w:b/>
                <w:color w:val="FFFFFF"/>
                <w:sz w:val="16"/>
              </w:rPr>
              <w:t>Priorité</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7</w:t>
            </w:r>
          </w:p>
        </w:tc>
        <w:tc>
          <w:tcPr>
            <w:tcW w:type="dxa" w:w="3175"/>
          </w:tcPr>
          <w:p>
            <w:pPr>
              <w:spacing w:after="40" w:before="40" w:line="240" w:lineRule="auto"/>
              <w:jc w:val="left"/>
            </w:pPr>
            <w:r>
              <w:rPr>
                <w:rFonts w:ascii="Helvetica" w:hAnsi="Helvetica" w:cs="Helvetica" w:eastAsia="Helvetica"/>
                <w:color w:val="000000"/>
                <w:sz w:val="16"/>
              </w:rPr>
              <w:t>Aucun taux d'intérêt de l'épargne n'est officiellement fixé</w:t>
            </w:r>
          </w:p>
        </w:tc>
        <w:tc>
          <w:tcPr>
            <w:tcW w:type="dxa" w:w="4422"/>
          </w:tcPr>
          <w:p>
            <w:pPr>
              <w:spacing w:after="40" w:before="40" w:line="240" w:lineRule="auto"/>
              <w:jc w:val="left"/>
            </w:pPr>
            <w:r>
              <w:rPr>
                <w:rFonts w:ascii="Helvetica" w:hAnsi="Helvetica" w:cs="Helvetica" w:eastAsia="Helvetica"/>
                <w:color w:val="000000"/>
                <w:sz w:val="16"/>
              </w:rPr>
              <w:t>Faire adopter par le conseil d'administration une délibération fixant le taux servi sur le PEP et l'EFC, cohérent avec le rendement des placements.</w:t>
            </w:r>
          </w:p>
        </w:tc>
        <w:tc>
          <w:tcPr>
            <w:tcW w:type="dxa" w:w="1134"/>
          </w:tcPr>
          <w:p>
            <w:pPr>
              <w:spacing w:after="40" w:before="40" w:line="240" w:lineRule="auto"/>
              <w:jc w:val="left"/>
            </w:pPr>
            <w:r>
              <w:rPr>
                <w:rFonts w:ascii="Helvetica" w:hAnsi="Helvetica" w:cs="Helvetica" w:eastAsia="Helvetica"/>
                <w:color w:val="000000"/>
                <w:sz w:val="16"/>
              </w:rPr>
              <w:t>Faible</w:t>
            </w:r>
          </w:p>
        </w:tc>
        <w:tc>
          <w:tcPr>
            <w:tcW w:type="dxa" w:w="1134"/>
          </w:tcPr>
          <w:p>
            <w:pPr>
              <w:spacing w:after="40" w:before="40" w:line="240" w:lineRule="auto"/>
              <w:jc w:val="left"/>
            </w:pPr>
            <w:r>
              <w:rPr>
                <w:rFonts w:ascii="Helvetica" w:hAnsi="Helvetica" w:cs="Helvetica" w:eastAsia="Helvetica"/>
                <w:color w:val="C00000"/>
                <w:sz w:val="16"/>
              </w:rPr>
              <w:t xml:space="preserve">●</w:t>
            </w:r>
            <w:r>
              <w:rPr>
                <w:rFonts w:ascii="Helvetica" w:hAnsi="Helvetica" w:cs="Helvetica" w:eastAsia="Helvetica"/>
                <w:color w:val="000000"/>
                <w:sz w:val="16"/>
              </w:rPr>
              <w:t xml:space="preserve"> P1</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1</w:t>
            </w:r>
          </w:p>
        </w:tc>
        <w:tc>
          <w:tcPr>
            <w:tcW w:type="dxa" w:w="3175"/>
            <w:shd w:val="clear" w:color="auto" w:fill="E8E8E8"/>
          </w:tcPr>
          <w:p>
            <w:pPr>
              <w:spacing w:after="40" w:before="40" w:line="240" w:lineRule="auto"/>
              <w:jc w:val="left"/>
            </w:pPr>
            <w:r>
              <w:rPr>
                <w:rFonts w:ascii="Helvetica" w:hAnsi="Helvetica" w:cs="Helvetica" w:eastAsia="Helvetica"/>
                <w:color w:val="000000"/>
                <w:sz w:val="16"/>
              </w:rPr>
              <w:t>Les provisions maladie et décès ne sont pas calculées</w:t>
            </w:r>
          </w:p>
        </w:tc>
        <w:tc>
          <w:tcPr>
            <w:tcW w:type="dxa" w:w="4422"/>
            <w:shd w:val="clear" w:color="auto" w:fill="E8E8E8"/>
          </w:tcPr>
          <w:p>
            <w:pPr>
              <w:spacing w:after="40" w:before="40" w:line="240" w:lineRule="auto"/>
              <w:jc w:val="left"/>
            </w:pPr>
            <w:r>
              <w:rPr>
                <w:rFonts w:ascii="Helvetica" w:hAnsi="Helvetica" w:cs="Helvetica" w:eastAsia="Helvetica"/>
                <w:color w:val="000000"/>
                <w:sz w:val="16"/>
              </w:rPr>
              <w:t>Établir chaque année une note de calcul des provisions (méthode, fichiers, montant), signée par le directeur général et présentée à l'Assemblée générale.</w:t>
            </w:r>
          </w:p>
        </w:tc>
        <w:tc>
          <w:tcPr>
            <w:tcW w:type="dxa" w:w="1134"/>
            <w:shd w:val="clear" w:color="auto" w:fill="E8E8E8"/>
          </w:tcPr>
          <w:p>
            <w:pPr>
              <w:spacing w:after="40" w:before="40" w:line="240" w:lineRule="auto"/>
              <w:jc w:val="left"/>
            </w:pPr>
            <w:r>
              <w:rPr>
                <w:rFonts w:ascii="Helvetica" w:hAnsi="Helvetica" w:cs="Helvetica" w:eastAsia="Helvetica"/>
                <w:color w:val="000000"/>
                <w:sz w:val="16"/>
              </w:rPr>
              <w:t>Moyenne</w:t>
            </w:r>
          </w:p>
        </w:tc>
        <w:tc>
          <w:tcPr>
            <w:tcW w:type="dxa" w:w="1134"/>
            <w:shd w:val="clear" w:color="auto" w:fill="E8E8E8"/>
          </w:tcPr>
          <w:p>
            <w:pPr>
              <w:spacing w:after="40" w:before="40" w:line="240" w:lineRule="auto"/>
              <w:jc w:val="left"/>
            </w:pPr>
            <w:r>
              <w:rPr>
                <w:rFonts w:ascii="Helvetica" w:hAnsi="Helvetica" w:cs="Helvetica" w:eastAsia="Helvetica"/>
                <w:color w:val="C00000"/>
                <w:sz w:val="16"/>
              </w:rPr>
              <w:t xml:space="preserve">●</w:t>
            </w:r>
            <w:r>
              <w:rPr>
                <w:rFonts w:ascii="Helvetica" w:hAnsi="Helvetica" w:cs="Helvetica" w:eastAsia="Helvetica"/>
                <w:color w:val="000000"/>
                <w:sz w:val="16"/>
              </w:rPr>
              <w:t xml:space="preserve"> P1</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6</w:t>
            </w:r>
          </w:p>
        </w:tc>
        <w:tc>
          <w:tcPr>
            <w:tcW w:type="dxa" w:w="3175"/>
          </w:tcPr>
          <w:p>
            <w:pPr>
              <w:spacing w:after="40" w:before="40" w:line="240" w:lineRule="auto"/>
              <w:jc w:val="left"/>
            </w:pPr>
            <w:r>
              <w:rPr>
                <w:rFonts w:ascii="Helvetica" w:hAnsi="Helvetica" w:cs="Helvetica" w:eastAsia="Helvetica"/>
                <w:color w:val="000000"/>
                <w:sz w:val="16"/>
              </w:rPr>
              <w:t>Les intérêts promis aux épargnants ne sont pas comptabilisés</w:t>
            </w:r>
          </w:p>
        </w:tc>
        <w:tc>
          <w:tcPr>
            <w:tcW w:type="dxa" w:w="4422"/>
          </w:tcPr>
          <w:p>
            <w:pPr>
              <w:spacing w:after="40" w:before="40" w:line="240" w:lineRule="auto"/>
              <w:jc w:val="left"/>
            </w:pPr>
            <w:r>
              <w:rPr>
                <w:rFonts w:ascii="Helvetica" w:hAnsi="Helvetica" w:cs="Helvetica" w:eastAsia="Helvetica"/>
                <w:color w:val="000000"/>
                <w:sz w:val="16"/>
              </w:rPr>
              <w:t>Calculer et comptabiliser chaque année les intérêts dus, épargnant par épargnant, dès que le taux est arrêté (constat 7).</w:t>
            </w:r>
          </w:p>
        </w:tc>
        <w:tc>
          <w:tcPr>
            <w:tcW w:type="dxa" w:w="1134"/>
          </w:tcPr>
          <w:p>
            <w:pPr>
              <w:spacing w:after="40" w:before="40" w:line="240" w:lineRule="auto"/>
              <w:jc w:val="left"/>
            </w:pPr>
            <w:r>
              <w:rPr>
                <w:rFonts w:ascii="Helvetica" w:hAnsi="Helvetica" w:cs="Helvetica" w:eastAsia="Helvetica"/>
                <w:color w:val="000000"/>
                <w:sz w:val="16"/>
              </w:rPr>
              <w:t>Moyenne</w:t>
            </w:r>
          </w:p>
        </w:tc>
        <w:tc>
          <w:tcPr>
            <w:tcW w:type="dxa" w:w="1134"/>
          </w:tcPr>
          <w:p>
            <w:pPr>
              <w:spacing w:after="40" w:before="40" w:line="240" w:lineRule="auto"/>
              <w:jc w:val="left"/>
            </w:pPr>
            <w:r>
              <w:rPr>
                <w:rFonts w:ascii="Helvetica" w:hAnsi="Helvetica" w:cs="Helvetica" w:eastAsia="Helvetica"/>
                <w:color w:val="C00000"/>
                <w:sz w:val="16"/>
              </w:rPr>
              <w:t xml:space="preserve">●</w:t>
            </w:r>
            <w:r>
              <w:rPr>
                <w:rFonts w:ascii="Helvetica" w:hAnsi="Helvetica" w:cs="Helvetica" w:eastAsia="Helvetica"/>
                <w:color w:val="000000"/>
                <w:sz w:val="16"/>
              </w:rPr>
              <w:t xml:space="preserve"> P1</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26</w:t>
            </w:r>
          </w:p>
        </w:tc>
        <w:tc>
          <w:tcPr>
            <w:tcW w:type="dxa" w:w="3175"/>
            <w:shd w:val="clear" w:color="auto" w:fill="E8E8E8"/>
          </w:tcPr>
          <w:p>
            <w:pPr>
              <w:spacing w:after="40" w:before="40" w:line="240" w:lineRule="auto"/>
              <w:jc w:val="left"/>
            </w:pPr>
            <w:r>
              <w:rPr>
                <w:rFonts w:ascii="Helvetica" w:hAnsi="Helvetica" w:cs="Helvetica" w:eastAsia="Helvetica"/>
                <w:color w:val="000000"/>
                <w:sz w:val="16"/>
              </w:rPr>
              <w:t>Des données essentielles manquent pour finir les calculs</w:t>
            </w:r>
          </w:p>
        </w:tc>
        <w:tc>
          <w:tcPr>
            <w:tcW w:type="dxa" w:w="4422"/>
            <w:shd w:val="clear" w:color="auto" w:fill="E8E8E8"/>
          </w:tcPr>
          <w:p>
            <w:pPr>
              <w:spacing w:after="40" w:before="40" w:line="240" w:lineRule="auto"/>
              <w:jc w:val="left"/>
            </w:pPr>
            <w:r>
              <w:rPr>
                <w:rFonts w:ascii="Helvetica" w:hAnsi="Helvetica" w:cs="Helvetica" w:eastAsia="Helvetica"/>
                <w:color w:val="000000"/>
                <w:sz w:val="16"/>
              </w:rPr>
              <w:t>Transmettre les données demandées (liste des documents demandés).</w:t>
            </w:r>
          </w:p>
        </w:tc>
        <w:tc>
          <w:tcPr>
            <w:tcW w:type="dxa" w:w="1134"/>
            <w:shd w:val="clear" w:color="auto" w:fill="E8E8E8"/>
          </w:tcPr>
          <w:p>
            <w:pPr>
              <w:spacing w:after="40" w:before="40" w:line="240" w:lineRule="auto"/>
              <w:jc w:val="left"/>
            </w:pPr>
            <w:r>
              <w:rPr>
                <w:rFonts w:ascii="Helvetica" w:hAnsi="Helvetica" w:cs="Helvetica" w:eastAsia="Helvetica"/>
                <w:color w:val="000000"/>
                <w:sz w:val="16"/>
              </w:rPr>
              <w:t>Moyenne</w:t>
            </w:r>
          </w:p>
        </w:tc>
        <w:tc>
          <w:tcPr>
            <w:tcW w:type="dxa" w:w="1134"/>
            <w:shd w:val="clear" w:color="auto" w:fill="E8E8E8"/>
          </w:tcPr>
          <w:p>
            <w:pPr>
              <w:spacing w:after="40" w:before="40" w:line="240" w:lineRule="auto"/>
              <w:jc w:val="left"/>
            </w:pPr>
            <w:r>
              <w:rPr>
                <w:rFonts w:ascii="Helvetica" w:hAnsi="Helvetica" w:cs="Helvetica" w:eastAsia="Helvetica"/>
                <w:color w:val="C00000"/>
                <w:sz w:val="16"/>
              </w:rPr>
              <w:t xml:space="preserve">●</w:t>
            </w:r>
            <w:r>
              <w:rPr>
                <w:rFonts w:ascii="Helvetica" w:hAnsi="Helvetica" w:cs="Helvetica" w:eastAsia="Helvetica"/>
                <w:color w:val="000000"/>
                <w:sz w:val="16"/>
              </w:rPr>
              <w:t xml:space="preserve"> P1</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11</w:t>
            </w:r>
          </w:p>
        </w:tc>
        <w:tc>
          <w:tcPr>
            <w:tcW w:type="dxa" w:w="3175"/>
          </w:tcPr>
          <w:p>
            <w:pPr>
              <w:spacing w:after="40" w:before="40" w:line="240" w:lineRule="auto"/>
              <w:jc w:val="left"/>
            </w:pPr>
            <w:r>
              <w:rPr>
                <w:rFonts w:ascii="Helvetica" w:hAnsi="Helvetica" w:cs="Helvetica" w:eastAsia="Helvetica"/>
                <w:color w:val="000000"/>
                <w:sz w:val="16"/>
              </w:rPr>
              <w:t>Le FPPN ne peut pas couvrir dans l'année tout ce qu'il devra payer</w:t>
            </w:r>
          </w:p>
        </w:tc>
        <w:tc>
          <w:tcPr>
            <w:tcW w:type="dxa" w:w="4422"/>
          </w:tcPr>
          <w:p>
            <w:pPr>
              <w:spacing w:after="40" w:before="40" w:line="240" w:lineRule="auto"/>
              <w:jc w:val="left"/>
            </w:pPr>
            <w:r>
              <w:rPr>
                <w:rFonts w:ascii="Helvetica" w:hAnsi="Helvetica" w:cs="Helvetica" w:eastAsia="Helvetica"/>
                <w:color w:val="000000"/>
                <w:sz w:val="16"/>
              </w:rPr>
              <w:t>Constituer une réserve de trésorerie au moins égale aux sorties d'épargne d'une année au taux le plus élevé observé.</w:t>
            </w:r>
          </w:p>
        </w:tc>
        <w:tc>
          <w:tcPr>
            <w:tcW w:type="dxa" w:w="1134"/>
          </w:tcPr>
          <w:p>
            <w:pPr>
              <w:spacing w:after="40" w:before="40" w:line="240" w:lineRule="auto"/>
              <w:jc w:val="left"/>
            </w:pPr>
            <w:r>
              <w:rPr>
                <w:rFonts w:ascii="Helvetica" w:hAnsi="Helvetica" w:cs="Helvetica" w:eastAsia="Helvetica"/>
                <w:color w:val="000000"/>
                <w:sz w:val="16"/>
              </w:rPr>
              <w:t>Élevée</w:t>
            </w:r>
          </w:p>
        </w:tc>
        <w:tc>
          <w:tcPr>
            <w:tcW w:type="dxa" w:w="1134"/>
          </w:tcPr>
          <w:p>
            <w:pPr>
              <w:spacing w:after="40" w:before="40" w:line="240" w:lineRule="auto"/>
              <w:jc w:val="left"/>
            </w:pPr>
            <w:r>
              <w:rPr>
                <w:rFonts w:ascii="Helvetica" w:hAnsi="Helvetica" w:cs="Helvetica" w:eastAsia="Helvetica"/>
                <w:color w:val="C00000"/>
                <w:sz w:val="16"/>
              </w:rPr>
              <w:t xml:space="preserve">●</w:t>
            </w:r>
            <w:r>
              <w:rPr>
                <w:rFonts w:ascii="Helvetica" w:hAnsi="Helvetica" w:cs="Helvetica" w:eastAsia="Helvetica"/>
                <w:color w:val="000000"/>
                <w:sz w:val="16"/>
              </w:rPr>
              <w:t xml:space="preserve"> P1</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14</w:t>
            </w:r>
          </w:p>
        </w:tc>
        <w:tc>
          <w:tcPr>
            <w:tcW w:type="dxa" w:w="3175"/>
            <w:shd w:val="clear" w:color="auto" w:fill="E8E8E8"/>
          </w:tcPr>
          <w:p>
            <w:pPr>
              <w:spacing w:after="40" w:before="40" w:line="240" w:lineRule="auto"/>
              <w:jc w:val="left"/>
            </w:pPr>
            <w:r>
              <w:rPr>
                <w:rFonts w:ascii="Helvetica" w:hAnsi="Helvetica" w:cs="Helvetica" w:eastAsia="Helvetica"/>
                <w:color w:val="000000"/>
                <w:sz w:val="16"/>
              </w:rPr>
              <w:t>Le FPPN ne respecte pas plusieurs règles de solidité financière</w:t>
            </w:r>
          </w:p>
        </w:tc>
        <w:tc>
          <w:tcPr>
            <w:tcW w:type="dxa" w:w="4422"/>
            <w:shd w:val="clear" w:color="auto" w:fill="E8E8E8"/>
          </w:tcPr>
          <w:p>
            <w:pPr>
              <w:spacing w:after="40" w:before="40" w:line="240" w:lineRule="auto"/>
              <w:jc w:val="left"/>
            </w:pPr>
            <w:r>
              <w:rPr>
                <w:rFonts w:ascii="Helvetica" w:hAnsi="Helvetica" w:cs="Helvetica" w:eastAsia="Helvetica"/>
                <w:color w:val="000000"/>
                <w:sz w:val="16"/>
              </w:rPr>
              <w:t>Présenter à l'AIRMS un plan de mise en conformité avec des objectifs chiffrés par indicateur sur trois exercices, validé par le conseil d'administration.</w:t>
            </w:r>
          </w:p>
        </w:tc>
        <w:tc>
          <w:tcPr>
            <w:tcW w:type="dxa" w:w="1134"/>
            <w:shd w:val="clear" w:color="auto" w:fill="E8E8E8"/>
          </w:tcPr>
          <w:p>
            <w:pPr>
              <w:spacing w:after="40" w:before="40" w:line="240" w:lineRule="auto"/>
              <w:jc w:val="left"/>
            </w:pPr>
            <w:r>
              <w:rPr>
                <w:rFonts w:ascii="Helvetica" w:hAnsi="Helvetica" w:cs="Helvetica" w:eastAsia="Helvetica"/>
                <w:color w:val="000000"/>
                <w:sz w:val="16"/>
              </w:rPr>
              <w:t>Élevée</w:t>
            </w:r>
          </w:p>
        </w:tc>
        <w:tc>
          <w:tcPr>
            <w:tcW w:type="dxa" w:w="1134"/>
            <w:shd w:val="clear" w:color="auto" w:fill="E8E8E8"/>
          </w:tcPr>
          <w:p>
            <w:pPr>
              <w:spacing w:after="40" w:before="40" w:line="240" w:lineRule="auto"/>
              <w:jc w:val="left"/>
            </w:pPr>
            <w:r>
              <w:rPr>
                <w:rFonts w:ascii="Helvetica" w:hAnsi="Helvetica" w:cs="Helvetica" w:eastAsia="Helvetica"/>
                <w:color w:val="C00000"/>
                <w:sz w:val="16"/>
              </w:rPr>
              <w:t xml:space="preserve">●</w:t>
            </w:r>
            <w:r>
              <w:rPr>
                <w:rFonts w:ascii="Helvetica" w:hAnsi="Helvetica" w:cs="Helvetica" w:eastAsia="Helvetica"/>
                <w:color w:val="000000"/>
                <w:sz w:val="16"/>
              </w:rPr>
              <w:t xml:space="preserve"> P1</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3</w:t>
            </w:r>
          </w:p>
        </w:tc>
        <w:tc>
          <w:tcPr>
            <w:tcW w:type="dxa" w:w="3175"/>
          </w:tcPr>
          <w:p>
            <w:pPr>
              <w:spacing w:after="40" w:before="40" w:line="240" w:lineRule="auto"/>
              <w:jc w:val="left"/>
            </w:pPr>
            <w:r>
              <w:rPr>
                <w:rFonts w:ascii="Helvetica" w:hAnsi="Helvetica" w:cs="Helvetica" w:eastAsia="Helvetica"/>
                <w:color w:val="000000"/>
                <w:sz w:val="16"/>
              </w:rPr>
              <w:t>Des allocations décès sont payées avec l'argent de l'épargne</w:t>
            </w:r>
          </w:p>
        </w:tc>
        <w:tc>
          <w:tcPr>
            <w:tcW w:type="dxa" w:w="4422"/>
          </w:tcPr>
          <w:p>
            <w:pPr>
              <w:spacing w:after="40" w:before="40" w:line="240" w:lineRule="auto"/>
              <w:jc w:val="left"/>
            </w:pPr>
            <w:r>
              <w:rPr>
                <w:rFonts w:ascii="Helvetica" w:hAnsi="Helvetica" w:cs="Helvetica" w:eastAsia="Helvetica"/>
                <w:color w:val="000000"/>
                <w:sz w:val="16"/>
              </w:rPr>
              <w:t>Payer les prestations uniquement depuis les comptes des garanties maladie et décès.</w:t>
            </w:r>
          </w:p>
        </w:tc>
        <w:tc>
          <w:tcPr>
            <w:tcW w:type="dxa" w:w="1134"/>
          </w:tcPr>
          <w:p>
            <w:pPr>
              <w:spacing w:after="40" w:before="40" w:line="240" w:lineRule="auto"/>
              <w:jc w:val="left"/>
            </w:pPr>
            <w:r>
              <w:rPr>
                <w:rFonts w:ascii="Helvetica" w:hAnsi="Helvetica" w:cs="Helvetica" w:eastAsia="Helvetica"/>
                <w:color w:val="000000"/>
                <w:sz w:val="16"/>
              </w:rPr>
              <w:t>Faible</w:t>
            </w:r>
          </w:p>
        </w:tc>
        <w:tc>
          <w:tcPr>
            <w:tcW w:type="dxa" w:w="1134"/>
          </w:tcPr>
          <w:p>
            <w:pPr>
              <w:spacing w:after="40" w:before="40" w:line="240" w:lineRule="auto"/>
              <w:jc w:val="left"/>
            </w:pPr>
            <w:r>
              <w:rPr>
                <w:rFonts w:ascii="Helvetica" w:hAnsi="Helvetica" w:cs="Helvetica" w:eastAsia="Helvetica"/>
                <w:color w:val="ED7D31"/>
                <w:sz w:val="16"/>
              </w:rPr>
              <w:t xml:space="preserve">●</w:t>
            </w:r>
            <w:r>
              <w:rPr>
                <w:rFonts w:ascii="Helvetica" w:hAnsi="Helvetica" w:cs="Helvetica" w:eastAsia="Helvetica"/>
                <w:color w:val="000000"/>
                <w:sz w:val="16"/>
              </w:rPr>
              <w:t xml:space="preserve"> P2</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9</w:t>
            </w:r>
          </w:p>
        </w:tc>
        <w:tc>
          <w:tcPr>
            <w:tcW w:type="dxa" w:w="3175"/>
            <w:shd w:val="clear" w:color="auto" w:fill="E8E8E8"/>
          </w:tcPr>
          <w:p>
            <w:pPr>
              <w:spacing w:after="40" w:before="40" w:line="240" w:lineRule="auto"/>
              <w:jc w:val="left"/>
            </w:pPr>
            <w:r>
              <w:rPr>
                <w:rFonts w:ascii="Helvetica" w:hAnsi="Helvetica" w:cs="Helvetica" w:eastAsia="Helvetica"/>
                <w:color w:val="000000"/>
                <w:sz w:val="16"/>
              </w:rPr>
              <w:t>Le rapport de gestion 2025 sous-estime l'épargne due</w:t>
            </w:r>
          </w:p>
        </w:tc>
        <w:tc>
          <w:tcPr>
            <w:tcW w:type="dxa" w:w="4422"/>
            <w:shd w:val="clear" w:color="auto" w:fill="E8E8E8"/>
          </w:tcPr>
          <w:p>
            <w:pPr>
              <w:spacing w:after="40" w:before="40" w:line="240" w:lineRule="auto"/>
              <w:jc w:val="left"/>
            </w:pPr>
            <w:r>
              <w:rPr>
                <w:rFonts w:ascii="Helvetica" w:hAnsi="Helvetica" w:cs="Helvetica" w:eastAsia="Helvetica"/>
                <w:color w:val="000000"/>
                <w:sz w:val="16"/>
              </w:rPr>
              <w:t>Présenter dans le rapport de gestion le solde de l'épargne due, distinct de la collecte de l'année.</w:t>
            </w:r>
          </w:p>
        </w:tc>
        <w:tc>
          <w:tcPr>
            <w:tcW w:type="dxa" w:w="1134"/>
            <w:shd w:val="clear" w:color="auto" w:fill="E8E8E8"/>
          </w:tcPr>
          <w:p>
            <w:pPr>
              <w:spacing w:after="40" w:before="40" w:line="240" w:lineRule="auto"/>
              <w:jc w:val="left"/>
            </w:pPr>
            <w:r>
              <w:rPr>
                <w:rFonts w:ascii="Helvetica" w:hAnsi="Helvetica" w:cs="Helvetica" w:eastAsia="Helvetica"/>
                <w:color w:val="000000"/>
                <w:sz w:val="16"/>
              </w:rPr>
              <w:t>Faible</w:t>
            </w:r>
          </w:p>
        </w:tc>
        <w:tc>
          <w:tcPr>
            <w:tcW w:type="dxa" w:w="1134"/>
            <w:shd w:val="clear" w:color="auto" w:fill="E8E8E8"/>
          </w:tcPr>
          <w:p>
            <w:pPr>
              <w:spacing w:after="40" w:before="40" w:line="240" w:lineRule="auto"/>
              <w:jc w:val="left"/>
            </w:pPr>
            <w:r>
              <w:rPr>
                <w:rFonts w:ascii="Helvetica" w:hAnsi="Helvetica" w:cs="Helvetica" w:eastAsia="Helvetica"/>
                <w:color w:val="ED7D31"/>
                <w:sz w:val="16"/>
              </w:rPr>
              <w:t xml:space="preserve">●</w:t>
            </w:r>
            <w:r>
              <w:rPr>
                <w:rFonts w:ascii="Helvetica" w:hAnsi="Helvetica" w:cs="Helvetica" w:eastAsia="Helvetica"/>
                <w:color w:val="000000"/>
                <w:sz w:val="16"/>
              </w:rPr>
              <w:t xml:space="preserve"> P2</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20</w:t>
            </w:r>
          </w:p>
        </w:tc>
        <w:tc>
          <w:tcPr>
            <w:tcW w:type="dxa" w:w="3175"/>
          </w:tcPr>
          <w:p>
            <w:pPr>
              <w:spacing w:after="40" w:before="40" w:line="240" w:lineRule="auto"/>
              <w:jc w:val="left"/>
            </w:pPr>
            <w:r>
              <w:rPr>
                <w:rFonts w:ascii="Helvetica" w:hAnsi="Helvetica" w:cs="Helvetica" w:eastAsia="Helvetica"/>
                <w:color w:val="000000"/>
                <w:sz w:val="16"/>
              </w:rPr>
              <w:t>La part des cotisations entre maladie et décès n'est pas la même partout</w:t>
            </w:r>
          </w:p>
        </w:tc>
        <w:tc>
          <w:tcPr>
            <w:tcW w:type="dxa" w:w="4422"/>
          </w:tcPr>
          <w:p>
            <w:pPr>
              <w:spacing w:after="40" w:before="40" w:line="240" w:lineRule="auto"/>
              <w:jc w:val="left"/>
            </w:pPr>
            <w:r>
              <w:rPr>
                <w:rFonts w:ascii="Helvetica" w:hAnsi="Helvetica" w:cs="Helvetica" w:eastAsia="Helvetica"/>
                <w:color w:val="000000"/>
                <w:sz w:val="16"/>
              </w:rPr>
              <w:t>Notifier à la Solde la répartition fixée par les statuts et l'appliquer en comptabilité.</w:t>
            </w:r>
          </w:p>
        </w:tc>
        <w:tc>
          <w:tcPr>
            <w:tcW w:type="dxa" w:w="1134"/>
          </w:tcPr>
          <w:p>
            <w:pPr>
              <w:spacing w:after="40" w:before="40" w:line="240" w:lineRule="auto"/>
              <w:jc w:val="left"/>
            </w:pPr>
            <w:r>
              <w:rPr>
                <w:rFonts w:ascii="Helvetica" w:hAnsi="Helvetica" w:cs="Helvetica" w:eastAsia="Helvetica"/>
                <w:color w:val="000000"/>
                <w:sz w:val="16"/>
              </w:rPr>
              <w:t>Faible</w:t>
            </w:r>
          </w:p>
        </w:tc>
        <w:tc>
          <w:tcPr>
            <w:tcW w:type="dxa" w:w="1134"/>
          </w:tcPr>
          <w:p>
            <w:pPr>
              <w:spacing w:after="40" w:before="40" w:line="240" w:lineRule="auto"/>
              <w:jc w:val="left"/>
            </w:pPr>
            <w:r>
              <w:rPr>
                <w:rFonts w:ascii="Helvetica" w:hAnsi="Helvetica" w:cs="Helvetica" w:eastAsia="Helvetica"/>
                <w:color w:val="ED7D31"/>
                <w:sz w:val="16"/>
              </w:rPr>
              <w:t xml:space="preserve">●</w:t>
            </w:r>
            <w:r>
              <w:rPr>
                <w:rFonts w:ascii="Helvetica" w:hAnsi="Helvetica" w:cs="Helvetica" w:eastAsia="Helvetica"/>
                <w:color w:val="000000"/>
                <w:sz w:val="16"/>
              </w:rPr>
              <w:t xml:space="preserve"> P2</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24</w:t>
            </w:r>
          </w:p>
        </w:tc>
        <w:tc>
          <w:tcPr>
            <w:tcW w:type="dxa" w:w="3175"/>
            <w:shd w:val="clear" w:color="auto" w:fill="E8E8E8"/>
          </w:tcPr>
          <w:p>
            <w:pPr>
              <w:spacing w:after="40" w:before="40" w:line="240" w:lineRule="auto"/>
              <w:jc w:val="left"/>
            </w:pPr>
            <w:r>
              <w:rPr>
                <w:rFonts w:ascii="Helvetica" w:hAnsi="Helvetica" w:cs="Helvetica" w:eastAsia="Helvetica"/>
                <w:color w:val="000000"/>
                <w:sz w:val="16"/>
              </w:rPr>
              <w:t>Les décisions de placement ne passent pas par le conseil d'administration</w:t>
            </w:r>
          </w:p>
        </w:tc>
        <w:tc>
          <w:tcPr>
            <w:tcW w:type="dxa" w:w="4422"/>
            <w:shd w:val="clear" w:color="auto" w:fill="E8E8E8"/>
          </w:tcPr>
          <w:p>
            <w:pPr>
              <w:spacing w:after="40" w:before="40" w:line="240" w:lineRule="auto"/>
              <w:jc w:val="left"/>
            </w:pPr>
            <w:r>
              <w:rPr>
                <w:rFonts w:ascii="Helvetica" w:hAnsi="Helvetica" w:cs="Helvetica" w:eastAsia="Helvetica"/>
                <w:color w:val="000000"/>
                <w:sz w:val="16"/>
              </w:rPr>
              <w:t>Faire délibérer le conseil d'administration sur chaque placement.</w:t>
            </w:r>
          </w:p>
        </w:tc>
        <w:tc>
          <w:tcPr>
            <w:tcW w:type="dxa" w:w="1134"/>
            <w:shd w:val="clear" w:color="auto" w:fill="E8E8E8"/>
          </w:tcPr>
          <w:p>
            <w:pPr>
              <w:spacing w:after="40" w:before="40" w:line="240" w:lineRule="auto"/>
              <w:jc w:val="left"/>
            </w:pPr>
            <w:r>
              <w:rPr>
                <w:rFonts w:ascii="Helvetica" w:hAnsi="Helvetica" w:cs="Helvetica" w:eastAsia="Helvetica"/>
                <w:color w:val="000000"/>
                <w:sz w:val="16"/>
              </w:rPr>
              <w:t>Faible</w:t>
            </w:r>
          </w:p>
        </w:tc>
        <w:tc>
          <w:tcPr>
            <w:tcW w:type="dxa" w:w="1134"/>
            <w:shd w:val="clear" w:color="auto" w:fill="E8E8E8"/>
          </w:tcPr>
          <w:p>
            <w:pPr>
              <w:spacing w:after="40" w:before="40" w:line="240" w:lineRule="auto"/>
              <w:jc w:val="left"/>
            </w:pPr>
            <w:r>
              <w:rPr>
                <w:rFonts w:ascii="Helvetica" w:hAnsi="Helvetica" w:cs="Helvetica" w:eastAsia="Helvetica"/>
                <w:color w:val="ED7D31"/>
                <w:sz w:val="16"/>
              </w:rPr>
              <w:t xml:space="preserve">●</w:t>
            </w:r>
            <w:r>
              <w:rPr>
                <w:rFonts w:ascii="Helvetica" w:hAnsi="Helvetica" w:cs="Helvetica" w:eastAsia="Helvetica"/>
                <w:color w:val="000000"/>
                <w:sz w:val="16"/>
              </w:rPr>
              <w:t xml:space="preserve"> P2</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2</w:t>
            </w:r>
          </w:p>
        </w:tc>
        <w:tc>
          <w:tcPr>
            <w:tcW w:type="dxa" w:w="3175"/>
          </w:tcPr>
          <w:p>
            <w:pPr>
              <w:spacing w:after="40" w:before="40" w:line="240" w:lineRule="auto"/>
              <w:jc w:val="left"/>
            </w:pPr>
            <w:r>
              <w:rPr>
                <w:rFonts w:ascii="Helvetica" w:hAnsi="Helvetica" w:cs="Helvetica" w:eastAsia="Helvetica"/>
                <w:color w:val="000000"/>
                <w:sz w:val="16"/>
              </w:rPr>
              <w:t>La dette envers les familles des policiers décédés augmente chaque année</w:t>
            </w:r>
          </w:p>
        </w:tc>
        <w:tc>
          <w:tcPr>
            <w:tcW w:type="dxa" w:w="4422"/>
          </w:tcPr>
          <w:p>
            <w:pPr>
              <w:spacing w:after="40" w:before="40" w:line="240" w:lineRule="auto"/>
              <w:jc w:val="left"/>
            </w:pPr>
            <w:r>
              <w:rPr>
                <w:rFonts w:ascii="Helvetica" w:hAnsi="Helvetica" w:cs="Helvetica" w:eastAsia="Helvetica"/>
                <w:color w:val="000000"/>
                <w:sz w:val="16"/>
              </w:rPr>
              <w:t>Dresser la liste nominative des dossiers non payés, avec la date de dépôt et le motif du retard.</w:t>
            </w:r>
          </w:p>
        </w:tc>
        <w:tc>
          <w:tcPr>
            <w:tcW w:type="dxa" w:w="1134"/>
          </w:tcPr>
          <w:p>
            <w:pPr>
              <w:spacing w:after="40" w:before="40" w:line="240" w:lineRule="auto"/>
              <w:jc w:val="left"/>
            </w:pPr>
            <w:r>
              <w:rPr>
                <w:rFonts w:ascii="Helvetica" w:hAnsi="Helvetica" w:cs="Helvetica" w:eastAsia="Helvetica"/>
                <w:color w:val="000000"/>
                <w:sz w:val="16"/>
              </w:rPr>
              <w:t>Moyenne</w:t>
            </w:r>
          </w:p>
        </w:tc>
        <w:tc>
          <w:tcPr>
            <w:tcW w:type="dxa" w:w="1134"/>
          </w:tcPr>
          <w:p>
            <w:pPr>
              <w:spacing w:after="40" w:before="40" w:line="240" w:lineRule="auto"/>
              <w:jc w:val="left"/>
            </w:pPr>
            <w:r>
              <w:rPr>
                <w:rFonts w:ascii="Helvetica" w:hAnsi="Helvetica" w:cs="Helvetica" w:eastAsia="Helvetica"/>
                <w:color w:val="ED7D31"/>
                <w:sz w:val="16"/>
              </w:rPr>
              <w:t xml:space="preserve">●</w:t>
            </w:r>
            <w:r>
              <w:rPr>
                <w:rFonts w:ascii="Helvetica" w:hAnsi="Helvetica" w:cs="Helvetica" w:eastAsia="Helvetica"/>
                <w:color w:val="000000"/>
                <w:sz w:val="16"/>
              </w:rPr>
              <w:t xml:space="preserve"> P2</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10</w:t>
            </w:r>
          </w:p>
        </w:tc>
        <w:tc>
          <w:tcPr>
            <w:tcW w:type="dxa" w:w="3175"/>
            <w:shd w:val="clear" w:color="auto" w:fill="E8E8E8"/>
          </w:tcPr>
          <w:p>
            <w:pPr>
              <w:spacing w:after="40" w:before="40" w:line="240" w:lineRule="auto"/>
              <w:jc w:val="left"/>
            </w:pPr>
            <w:r>
              <w:rPr>
                <w:rFonts w:ascii="Helvetica" w:hAnsi="Helvetica" w:cs="Helvetica" w:eastAsia="Helvetica"/>
                <w:color w:val="000000"/>
                <w:sz w:val="16"/>
              </w:rPr>
              <w:t>L'argent de l'épargne n'est pas séparé du reste</w:t>
            </w:r>
          </w:p>
        </w:tc>
        <w:tc>
          <w:tcPr>
            <w:tcW w:type="dxa" w:w="4422"/>
            <w:shd w:val="clear" w:color="auto" w:fill="E8E8E8"/>
          </w:tcPr>
          <w:p>
            <w:pPr>
              <w:spacing w:after="40" w:before="40" w:line="240" w:lineRule="auto"/>
              <w:jc w:val="left"/>
            </w:pPr>
            <w:r>
              <w:rPr>
                <w:rFonts w:ascii="Helvetica" w:hAnsi="Helvetica" w:cs="Helvetica" w:eastAsia="Helvetica"/>
                <w:color w:val="000000"/>
                <w:sz w:val="16"/>
              </w:rPr>
              <w:t>Ouvrir des comptes réservés à l'épargne et y verser chaque mois l'épargne collectée.</w:t>
            </w:r>
          </w:p>
        </w:tc>
        <w:tc>
          <w:tcPr>
            <w:tcW w:type="dxa" w:w="1134"/>
            <w:shd w:val="clear" w:color="auto" w:fill="E8E8E8"/>
          </w:tcPr>
          <w:p>
            <w:pPr>
              <w:spacing w:after="40" w:before="40" w:line="240" w:lineRule="auto"/>
              <w:jc w:val="left"/>
            </w:pPr>
            <w:r>
              <w:rPr>
                <w:rFonts w:ascii="Helvetica" w:hAnsi="Helvetica" w:cs="Helvetica" w:eastAsia="Helvetica"/>
                <w:color w:val="000000"/>
                <w:sz w:val="16"/>
              </w:rPr>
              <w:t>Moyenne</w:t>
            </w:r>
          </w:p>
        </w:tc>
        <w:tc>
          <w:tcPr>
            <w:tcW w:type="dxa" w:w="1134"/>
            <w:shd w:val="clear" w:color="auto" w:fill="E8E8E8"/>
          </w:tcPr>
          <w:p>
            <w:pPr>
              <w:spacing w:after="40" w:before="40" w:line="240" w:lineRule="auto"/>
              <w:jc w:val="left"/>
            </w:pPr>
            <w:r>
              <w:rPr>
                <w:rFonts w:ascii="Helvetica" w:hAnsi="Helvetica" w:cs="Helvetica" w:eastAsia="Helvetica"/>
                <w:color w:val="ED7D31"/>
                <w:sz w:val="16"/>
              </w:rPr>
              <w:t xml:space="preserve">●</w:t>
            </w:r>
            <w:r>
              <w:rPr>
                <w:rFonts w:ascii="Helvetica" w:hAnsi="Helvetica" w:cs="Helvetica" w:eastAsia="Helvetica"/>
                <w:color w:val="000000"/>
                <w:sz w:val="16"/>
              </w:rPr>
              <w:t xml:space="preserve"> P2</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15</w:t>
            </w:r>
          </w:p>
        </w:tc>
        <w:tc>
          <w:tcPr>
            <w:tcW w:type="dxa" w:w="3175"/>
          </w:tcPr>
          <w:p>
            <w:pPr>
              <w:spacing w:after="40" w:before="40" w:line="240" w:lineRule="auto"/>
              <w:jc w:val="left"/>
            </w:pPr>
            <w:r>
              <w:rPr>
                <w:rFonts w:ascii="Helvetica" w:hAnsi="Helvetica" w:cs="Helvetica" w:eastAsia="Helvetica"/>
                <w:color w:val="000000"/>
                <w:sz w:val="16"/>
              </w:rPr>
              <w:t>Les fonds propres du FPPN sont négatifs</w:t>
            </w:r>
          </w:p>
        </w:tc>
        <w:tc>
          <w:tcPr>
            <w:tcW w:type="dxa" w:w="4422"/>
          </w:tcPr>
          <w:p>
            <w:pPr>
              <w:spacing w:after="40" w:before="40" w:line="240" w:lineRule="auto"/>
              <w:jc w:val="left"/>
            </w:pPr>
            <w:r>
              <w:rPr>
                <w:rFonts w:ascii="Helvetica" w:hAnsi="Helvetica" w:cs="Helvetica" w:eastAsia="Helvetica"/>
                <w:color w:val="000000"/>
                <w:sz w:val="16"/>
              </w:rPr>
              <w:t>Affecter les excédents futurs aux réserves.</w:t>
            </w:r>
          </w:p>
        </w:tc>
        <w:tc>
          <w:tcPr>
            <w:tcW w:type="dxa" w:w="1134"/>
          </w:tcPr>
          <w:p>
            <w:pPr>
              <w:spacing w:after="40" w:before="40" w:line="240" w:lineRule="auto"/>
              <w:jc w:val="left"/>
            </w:pPr>
            <w:r>
              <w:rPr>
                <w:rFonts w:ascii="Helvetica" w:hAnsi="Helvetica" w:cs="Helvetica" w:eastAsia="Helvetica"/>
                <w:color w:val="000000"/>
                <w:sz w:val="16"/>
              </w:rPr>
              <w:t>Moyenne</w:t>
            </w:r>
          </w:p>
        </w:tc>
        <w:tc>
          <w:tcPr>
            <w:tcW w:type="dxa" w:w="1134"/>
          </w:tcPr>
          <w:p>
            <w:pPr>
              <w:spacing w:after="40" w:before="40" w:line="240" w:lineRule="auto"/>
              <w:jc w:val="left"/>
            </w:pPr>
            <w:r>
              <w:rPr>
                <w:rFonts w:ascii="Helvetica" w:hAnsi="Helvetica" w:cs="Helvetica" w:eastAsia="Helvetica"/>
                <w:color w:val="ED7D31"/>
                <w:sz w:val="16"/>
              </w:rPr>
              <w:t xml:space="preserve">●</w:t>
            </w:r>
            <w:r>
              <w:rPr>
                <w:rFonts w:ascii="Helvetica" w:hAnsi="Helvetica" w:cs="Helvetica" w:eastAsia="Helvetica"/>
                <w:color w:val="000000"/>
                <w:sz w:val="16"/>
              </w:rPr>
              <w:t xml:space="preserve"> P2</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17</w:t>
            </w:r>
          </w:p>
        </w:tc>
        <w:tc>
          <w:tcPr>
            <w:tcW w:type="dxa" w:w="3175"/>
            <w:shd w:val="clear" w:color="auto" w:fill="E8E8E8"/>
          </w:tcPr>
          <w:p>
            <w:pPr>
              <w:spacing w:after="40" w:before="40" w:line="240" w:lineRule="auto"/>
              <w:jc w:val="left"/>
            </w:pPr>
            <w:r>
              <w:rPr>
                <w:rFonts w:ascii="Helvetica" w:hAnsi="Helvetica" w:cs="Helvetica" w:eastAsia="Helvetica"/>
                <w:color w:val="000000"/>
                <w:sz w:val="16"/>
              </w:rPr>
              <w:t>La clinique n'a pas de comptabilité séparée</w:t>
            </w:r>
          </w:p>
        </w:tc>
        <w:tc>
          <w:tcPr>
            <w:tcW w:type="dxa" w:w="4422"/>
            <w:shd w:val="clear" w:color="auto" w:fill="E8E8E8"/>
          </w:tcPr>
          <w:p>
            <w:pPr>
              <w:spacing w:after="40" w:before="40" w:line="240" w:lineRule="auto"/>
              <w:jc w:val="left"/>
            </w:pPr>
            <w:r>
              <w:rPr>
                <w:rFonts w:ascii="Helvetica" w:hAnsi="Helvetica" w:cs="Helvetica" w:eastAsia="Helvetica"/>
                <w:color w:val="000000"/>
                <w:sz w:val="16"/>
              </w:rPr>
              <w:t>Tenir une comptabilité séparée de la clinique et présenter son résultat chaque année.</w:t>
            </w:r>
          </w:p>
        </w:tc>
        <w:tc>
          <w:tcPr>
            <w:tcW w:type="dxa" w:w="1134"/>
            <w:shd w:val="clear" w:color="auto" w:fill="E8E8E8"/>
          </w:tcPr>
          <w:p>
            <w:pPr>
              <w:spacing w:after="40" w:before="40" w:line="240" w:lineRule="auto"/>
              <w:jc w:val="left"/>
            </w:pPr>
            <w:r>
              <w:rPr>
                <w:rFonts w:ascii="Helvetica" w:hAnsi="Helvetica" w:cs="Helvetica" w:eastAsia="Helvetica"/>
                <w:color w:val="000000"/>
                <w:sz w:val="16"/>
              </w:rPr>
              <w:t>Moyenne</w:t>
            </w:r>
          </w:p>
        </w:tc>
        <w:tc>
          <w:tcPr>
            <w:tcW w:type="dxa" w:w="1134"/>
            <w:shd w:val="clear" w:color="auto" w:fill="E8E8E8"/>
          </w:tcPr>
          <w:p>
            <w:pPr>
              <w:spacing w:after="40" w:before="40" w:line="240" w:lineRule="auto"/>
              <w:jc w:val="left"/>
            </w:pPr>
            <w:r>
              <w:rPr>
                <w:rFonts w:ascii="Helvetica" w:hAnsi="Helvetica" w:cs="Helvetica" w:eastAsia="Helvetica"/>
                <w:color w:val="ED7D31"/>
                <w:sz w:val="16"/>
              </w:rPr>
              <w:t xml:space="preserve">●</w:t>
            </w:r>
            <w:r>
              <w:rPr>
                <w:rFonts w:ascii="Helvetica" w:hAnsi="Helvetica" w:cs="Helvetica" w:eastAsia="Helvetica"/>
                <w:color w:val="000000"/>
                <w:sz w:val="16"/>
              </w:rPr>
              <w:t xml:space="preserve"> P2</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21</w:t>
            </w:r>
          </w:p>
        </w:tc>
        <w:tc>
          <w:tcPr>
            <w:tcW w:type="dxa" w:w="3175"/>
          </w:tcPr>
          <w:p>
            <w:pPr>
              <w:spacing w:after="40" w:before="40" w:line="240" w:lineRule="auto"/>
              <w:jc w:val="left"/>
            </w:pPr>
            <w:r>
              <w:rPr>
                <w:rFonts w:ascii="Helvetica" w:hAnsi="Helvetica" w:cs="Helvetica" w:eastAsia="Helvetica"/>
                <w:color w:val="000000"/>
                <w:sz w:val="16"/>
              </w:rPr>
              <w:t>Le paiement des cliniques ralentit en 2026</w:t>
            </w:r>
          </w:p>
        </w:tc>
        <w:tc>
          <w:tcPr>
            <w:tcW w:type="dxa" w:w="4422"/>
          </w:tcPr>
          <w:p>
            <w:pPr>
              <w:spacing w:after="40" w:before="40" w:line="240" w:lineRule="auto"/>
              <w:jc w:val="left"/>
            </w:pPr>
            <w:r>
              <w:rPr>
                <w:rFonts w:ascii="Helvetica" w:hAnsi="Helvetica" w:cs="Helvetica" w:eastAsia="Helvetica"/>
                <w:color w:val="000000"/>
                <w:sz w:val="16"/>
              </w:rPr>
              <w:t>Suivre chaque mois le délai de paiement et les factures en attente.</w:t>
            </w:r>
          </w:p>
        </w:tc>
        <w:tc>
          <w:tcPr>
            <w:tcW w:type="dxa" w:w="1134"/>
          </w:tcPr>
          <w:p>
            <w:pPr>
              <w:spacing w:after="40" w:before="40" w:line="240" w:lineRule="auto"/>
              <w:jc w:val="left"/>
            </w:pPr>
            <w:r>
              <w:rPr>
                <w:rFonts w:ascii="Helvetica" w:hAnsi="Helvetica" w:cs="Helvetica" w:eastAsia="Helvetica"/>
                <w:color w:val="000000"/>
                <w:sz w:val="16"/>
              </w:rPr>
              <w:t>Moyenne</w:t>
            </w:r>
          </w:p>
        </w:tc>
        <w:tc>
          <w:tcPr>
            <w:tcW w:type="dxa" w:w="1134"/>
          </w:tcPr>
          <w:p>
            <w:pPr>
              <w:spacing w:after="40" w:before="40" w:line="240" w:lineRule="auto"/>
              <w:jc w:val="left"/>
            </w:pPr>
            <w:r>
              <w:rPr>
                <w:rFonts w:ascii="Helvetica" w:hAnsi="Helvetica" w:cs="Helvetica" w:eastAsia="Helvetica"/>
                <w:color w:val="ED7D31"/>
                <w:sz w:val="16"/>
              </w:rPr>
              <w:t xml:space="preserve">●</w:t>
            </w:r>
            <w:r>
              <w:rPr>
                <w:rFonts w:ascii="Helvetica" w:hAnsi="Helvetica" w:cs="Helvetica" w:eastAsia="Helvetica"/>
                <w:color w:val="000000"/>
                <w:sz w:val="16"/>
              </w:rPr>
              <w:t xml:space="preserve"> P2</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23</w:t>
            </w:r>
          </w:p>
        </w:tc>
        <w:tc>
          <w:tcPr>
            <w:tcW w:type="dxa" w:w="3175"/>
            <w:shd w:val="clear" w:color="auto" w:fill="E8E8E8"/>
          </w:tcPr>
          <w:p>
            <w:pPr>
              <w:spacing w:after="40" w:before="40" w:line="240" w:lineRule="auto"/>
              <w:jc w:val="left"/>
            </w:pPr>
            <w:r>
              <w:rPr>
                <w:rFonts w:ascii="Helvetica" w:hAnsi="Helvetica" w:cs="Helvetica" w:eastAsia="Helvetica"/>
                <w:color w:val="000000"/>
                <w:sz w:val="16"/>
              </w:rPr>
              <w:t>Les placements sont trop faibles pour servir l'épargne promise</w:t>
            </w:r>
          </w:p>
        </w:tc>
        <w:tc>
          <w:tcPr>
            <w:tcW w:type="dxa" w:w="4422"/>
            <w:shd w:val="clear" w:color="auto" w:fill="E8E8E8"/>
          </w:tcPr>
          <w:p>
            <w:pPr>
              <w:spacing w:after="40" w:before="40" w:line="240" w:lineRule="auto"/>
              <w:jc w:val="left"/>
            </w:pPr>
            <w:r>
              <w:rPr>
                <w:rFonts w:ascii="Helvetica" w:hAnsi="Helvetica" w:cs="Helvetica" w:eastAsia="Helvetica"/>
                <w:color w:val="000000"/>
                <w:sz w:val="16"/>
              </w:rPr>
              <w:t>Faire voter une politique de placement : part minimale disponible, rendement minimal au regard du taux servi, limites sur l'immobilier.</w:t>
            </w:r>
          </w:p>
        </w:tc>
        <w:tc>
          <w:tcPr>
            <w:tcW w:type="dxa" w:w="1134"/>
            <w:shd w:val="clear" w:color="auto" w:fill="E8E8E8"/>
          </w:tcPr>
          <w:p>
            <w:pPr>
              <w:spacing w:after="40" w:before="40" w:line="240" w:lineRule="auto"/>
              <w:jc w:val="left"/>
            </w:pPr>
            <w:r>
              <w:rPr>
                <w:rFonts w:ascii="Helvetica" w:hAnsi="Helvetica" w:cs="Helvetica" w:eastAsia="Helvetica"/>
                <w:color w:val="000000"/>
                <w:sz w:val="16"/>
              </w:rPr>
              <w:t>Moyenne</w:t>
            </w:r>
          </w:p>
        </w:tc>
        <w:tc>
          <w:tcPr>
            <w:tcW w:type="dxa" w:w="1134"/>
            <w:shd w:val="clear" w:color="auto" w:fill="E8E8E8"/>
          </w:tcPr>
          <w:p>
            <w:pPr>
              <w:spacing w:after="40" w:before="40" w:line="240" w:lineRule="auto"/>
              <w:jc w:val="left"/>
            </w:pPr>
            <w:r>
              <w:rPr>
                <w:rFonts w:ascii="Helvetica" w:hAnsi="Helvetica" w:cs="Helvetica" w:eastAsia="Helvetica"/>
                <w:color w:val="ED7D31"/>
                <w:sz w:val="16"/>
              </w:rPr>
              <w:t xml:space="preserve">●</w:t>
            </w:r>
            <w:r>
              <w:rPr>
                <w:rFonts w:ascii="Helvetica" w:hAnsi="Helvetica" w:cs="Helvetica" w:eastAsia="Helvetica"/>
                <w:color w:val="000000"/>
                <w:sz w:val="16"/>
              </w:rPr>
              <w:t xml:space="preserve"> P2</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27</w:t>
            </w:r>
          </w:p>
        </w:tc>
        <w:tc>
          <w:tcPr>
            <w:tcW w:type="dxa" w:w="3175"/>
          </w:tcPr>
          <w:p>
            <w:pPr>
              <w:spacing w:after="40" w:before="40" w:line="240" w:lineRule="auto"/>
              <w:jc w:val="left"/>
            </w:pPr>
            <w:r>
              <w:rPr>
                <w:rFonts w:ascii="Helvetica" w:hAnsi="Helvetica" w:cs="Helvetica" w:eastAsia="Helvetica"/>
                <w:color w:val="000000"/>
                <w:sz w:val="16"/>
              </w:rPr>
              <w:t>Les fichiers de cotisations ne sont pas rapprochés</w:t>
            </w:r>
          </w:p>
        </w:tc>
        <w:tc>
          <w:tcPr>
            <w:tcW w:type="dxa" w:w="4422"/>
          </w:tcPr>
          <w:p>
            <w:pPr>
              <w:spacing w:after="40" w:before="40" w:line="240" w:lineRule="auto"/>
              <w:jc w:val="left"/>
            </w:pPr>
            <w:r>
              <w:rPr>
                <w:rFonts w:ascii="Helvetica" w:hAnsi="Helvetica" w:cs="Helvetica" w:eastAsia="Helvetica"/>
                <w:color w:val="000000"/>
                <w:sz w:val="16"/>
              </w:rPr>
              <w:t>Rapprocher chaque mois le fichier envoyé et le fichier retour, avec un état des rejets signé.</w:t>
            </w:r>
          </w:p>
        </w:tc>
        <w:tc>
          <w:tcPr>
            <w:tcW w:type="dxa" w:w="1134"/>
          </w:tcPr>
          <w:p>
            <w:pPr>
              <w:spacing w:after="40" w:before="40" w:line="240" w:lineRule="auto"/>
              <w:jc w:val="left"/>
            </w:pPr>
            <w:r>
              <w:rPr>
                <w:rFonts w:ascii="Helvetica" w:hAnsi="Helvetica" w:cs="Helvetica" w:eastAsia="Helvetica"/>
                <w:color w:val="000000"/>
                <w:sz w:val="16"/>
              </w:rPr>
              <w:t>Moyenne</w:t>
            </w:r>
          </w:p>
        </w:tc>
        <w:tc>
          <w:tcPr>
            <w:tcW w:type="dxa" w:w="1134"/>
          </w:tcPr>
          <w:p>
            <w:pPr>
              <w:spacing w:after="40" w:before="40" w:line="240" w:lineRule="auto"/>
              <w:jc w:val="left"/>
            </w:pPr>
            <w:r>
              <w:rPr>
                <w:rFonts w:ascii="Helvetica" w:hAnsi="Helvetica" w:cs="Helvetica" w:eastAsia="Helvetica"/>
                <w:color w:val="ED7D31"/>
                <w:sz w:val="16"/>
              </w:rPr>
              <w:t xml:space="preserve">●</w:t>
            </w:r>
            <w:r>
              <w:rPr>
                <w:rFonts w:ascii="Helvetica" w:hAnsi="Helvetica" w:cs="Helvetica" w:eastAsia="Helvetica"/>
                <w:color w:val="000000"/>
                <w:sz w:val="16"/>
              </w:rPr>
              <w:t xml:space="preserve"> P2</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8</w:t>
            </w:r>
          </w:p>
        </w:tc>
        <w:tc>
          <w:tcPr>
            <w:tcW w:type="dxa" w:w="3175"/>
            <w:shd w:val="clear" w:color="auto" w:fill="E8E8E8"/>
          </w:tcPr>
          <w:p>
            <w:pPr>
              <w:spacing w:after="40" w:before="40" w:line="240" w:lineRule="auto"/>
              <w:jc w:val="left"/>
            </w:pPr>
            <w:r>
              <w:rPr>
                <w:rFonts w:ascii="Helvetica" w:hAnsi="Helvetica" w:cs="Helvetica" w:eastAsia="Helvetica"/>
                <w:color w:val="000000"/>
                <w:sz w:val="16"/>
              </w:rPr>
              <w:t>Le FPPN ne tient pas de compte individuel pour chaque épargnant</w:t>
            </w:r>
          </w:p>
        </w:tc>
        <w:tc>
          <w:tcPr>
            <w:tcW w:type="dxa" w:w="4422"/>
            <w:shd w:val="clear" w:color="auto" w:fill="E8E8E8"/>
          </w:tcPr>
          <w:p>
            <w:pPr>
              <w:spacing w:after="40" w:before="40" w:line="240" w:lineRule="auto"/>
              <w:jc w:val="left"/>
            </w:pPr>
            <w:r>
              <w:rPr>
                <w:rFonts w:ascii="Helvetica" w:hAnsi="Helvetica" w:cs="Helvetica" w:eastAsia="Helvetica"/>
                <w:color w:val="000000"/>
                <w:sz w:val="16"/>
              </w:rPr>
              <w:t>Mettre en place un compte individuel pour chaque épargnant dans le logiciel.</w:t>
            </w:r>
          </w:p>
        </w:tc>
        <w:tc>
          <w:tcPr>
            <w:tcW w:type="dxa" w:w="1134"/>
            <w:shd w:val="clear" w:color="auto" w:fill="E8E8E8"/>
          </w:tcPr>
          <w:p>
            <w:pPr>
              <w:spacing w:after="40" w:before="40" w:line="240" w:lineRule="auto"/>
              <w:jc w:val="left"/>
            </w:pPr>
            <w:r>
              <w:rPr>
                <w:rFonts w:ascii="Helvetica" w:hAnsi="Helvetica" w:cs="Helvetica" w:eastAsia="Helvetica"/>
                <w:color w:val="000000"/>
                <w:sz w:val="16"/>
              </w:rPr>
              <w:t>Élevée</w:t>
            </w:r>
          </w:p>
        </w:tc>
        <w:tc>
          <w:tcPr>
            <w:tcW w:type="dxa" w:w="1134"/>
            <w:shd w:val="clear" w:color="auto" w:fill="E8E8E8"/>
          </w:tcPr>
          <w:p>
            <w:pPr>
              <w:spacing w:after="40" w:before="40" w:line="240" w:lineRule="auto"/>
              <w:jc w:val="left"/>
            </w:pPr>
            <w:r>
              <w:rPr>
                <w:rFonts w:ascii="Helvetica" w:hAnsi="Helvetica" w:cs="Helvetica" w:eastAsia="Helvetica"/>
                <w:color w:val="ED7D31"/>
                <w:sz w:val="16"/>
              </w:rPr>
              <w:t xml:space="preserve">●</w:t>
            </w:r>
            <w:r>
              <w:rPr>
                <w:rFonts w:ascii="Helvetica" w:hAnsi="Helvetica" w:cs="Helvetica" w:eastAsia="Helvetica"/>
                <w:color w:val="000000"/>
                <w:sz w:val="16"/>
              </w:rPr>
              <w:t xml:space="preserve"> P2</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12</w:t>
            </w:r>
          </w:p>
        </w:tc>
        <w:tc>
          <w:tcPr>
            <w:tcW w:type="dxa" w:w="3175"/>
          </w:tcPr>
          <w:p>
            <w:pPr>
              <w:spacing w:after="40" w:before="40" w:line="240" w:lineRule="auto"/>
              <w:jc w:val="left"/>
            </w:pPr>
            <w:r>
              <w:rPr>
                <w:rFonts w:ascii="Helvetica" w:hAnsi="Helvetica" w:cs="Helvetica" w:eastAsia="Helvetica"/>
                <w:color w:val="000000"/>
                <w:sz w:val="16"/>
              </w:rPr>
              <w:t>L'essentiel des biens du FPPN ne peut pas être vendu rapidement</w:t>
            </w:r>
          </w:p>
        </w:tc>
        <w:tc>
          <w:tcPr>
            <w:tcW w:type="dxa" w:w="4422"/>
          </w:tcPr>
          <w:p>
            <w:pPr>
              <w:spacing w:after="40" w:before="40" w:line="240" w:lineRule="auto"/>
              <w:jc w:val="left"/>
            </w:pPr>
            <w:r>
              <w:rPr>
                <w:rFonts w:ascii="Helvetica" w:hAnsi="Helvetica" w:cs="Helvetica" w:eastAsia="Helvetica"/>
                <w:color w:val="000000"/>
                <w:sz w:val="16"/>
              </w:rPr>
              <w:t>Faire évaluer la clinique et les terrains par un expert.</w:t>
            </w:r>
          </w:p>
        </w:tc>
        <w:tc>
          <w:tcPr>
            <w:tcW w:type="dxa" w:w="1134"/>
          </w:tcPr>
          <w:p>
            <w:pPr>
              <w:spacing w:after="40" w:before="40" w:line="240" w:lineRule="auto"/>
              <w:jc w:val="left"/>
            </w:pPr>
            <w:r>
              <w:rPr>
                <w:rFonts w:ascii="Helvetica" w:hAnsi="Helvetica" w:cs="Helvetica" w:eastAsia="Helvetica"/>
                <w:color w:val="000000"/>
                <w:sz w:val="16"/>
              </w:rPr>
              <w:t>Élevée</w:t>
            </w:r>
          </w:p>
        </w:tc>
        <w:tc>
          <w:tcPr>
            <w:tcW w:type="dxa" w:w="1134"/>
          </w:tcPr>
          <w:p>
            <w:pPr>
              <w:spacing w:after="40" w:before="40" w:line="240" w:lineRule="auto"/>
              <w:jc w:val="left"/>
            </w:pPr>
            <w:r>
              <w:rPr>
                <w:rFonts w:ascii="Helvetica" w:hAnsi="Helvetica" w:cs="Helvetica" w:eastAsia="Helvetica"/>
                <w:color w:val="ED7D31"/>
                <w:sz w:val="16"/>
              </w:rPr>
              <w:t xml:space="preserve">●</w:t>
            </w:r>
            <w:r>
              <w:rPr>
                <w:rFonts w:ascii="Helvetica" w:hAnsi="Helvetica" w:cs="Helvetica" w:eastAsia="Helvetica"/>
                <w:color w:val="000000"/>
                <w:sz w:val="16"/>
              </w:rPr>
              <w:t xml:space="preserve"> P2</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19</w:t>
            </w:r>
          </w:p>
        </w:tc>
        <w:tc>
          <w:tcPr>
            <w:tcW w:type="dxa" w:w="3175"/>
            <w:shd w:val="clear" w:color="auto" w:fill="E8E8E8"/>
          </w:tcPr>
          <w:p>
            <w:pPr>
              <w:spacing w:after="40" w:before="40" w:line="240" w:lineRule="auto"/>
              <w:jc w:val="left"/>
            </w:pPr>
            <w:r>
              <w:rPr>
                <w:rFonts w:ascii="Helvetica" w:hAnsi="Helvetica" w:cs="Helvetica" w:eastAsia="Helvetica"/>
                <w:color w:val="000000"/>
                <w:sz w:val="16"/>
              </w:rPr>
              <w:t>La garantie maladie perd de l'argent depuis 2025</w:t>
            </w:r>
          </w:p>
        </w:tc>
        <w:tc>
          <w:tcPr>
            <w:tcW w:type="dxa" w:w="4422"/>
            <w:shd w:val="clear" w:color="auto" w:fill="E8E8E8"/>
          </w:tcPr>
          <w:p>
            <w:pPr>
              <w:spacing w:after="40" w:before="40" w:line="240" w:lineRule="auto"/>
              <w:jc w:val="left"/>
            </w:pPr>
            <w:r>
              <w:rPr>
                <w:rFonts w:ascii="Helvetica" w:hAnsi="Helvetica" w:cs="Helvetica" w:eastAsia="Helvetica"/>
                <w:color w:val="000000"/>
                <w:sz w:val="16"/>
              </w:rPr>
              <w:t>Recalculer la cotisation maladie sur le coût complet de la garantie, frais compris.</w:t>
            </w:r>
          </w:p>
        </w:tc>
        <w:tc>
          <w:tcPr>
            <w:tcW w:type="dxa" w:w="1134"/>
            <w:shd w:val="clear" w:color="auto" w:fill="E8E8E8"/>
          </w:tcPr>
          <w:p>
            <w:pPr>
              <w:spacing w:after="40" w:before="40" w:line="240" w:lineRule="auto"/>
              <w:jc w:val="left"/>
            </w:pPr>
            <w:r>
              <w:rPr>
                <w:rFonts w:ascii="Helvetica" w:hAnsi="Helvetica" w:cs="Helvetica" w:eastAsia="Helvetica"/>
                <w:color w:val="000000"/>
                <w:sz w:val="16"/>
              </w:rPr>
              <w:t>Élevée</w:t>
            </w:r>
          </w:p>
        </w:tc>
        <w:tc>
          <w:tcPr>
            <w:tcW w:type="dxa" w:w="1134"/>
            <w:shd w:val="clear" w:color="auto" w:fill="E8E8E8"/>
          </w:tcPr>
          <w:p>
            <w:pPr>
              <w:spacing w:after="40" w:before="40" w:line="240" w:lineRule="auto"/>
              <w:jc w:val="left"/>
            </w:pPr>
            <w:r>
              <w:rPr>
                <w:rFonts w:ascii="Helvetica" w:hAnsi="Helvetica" w:cs="Helvetica" w:eastAsia="Helvetica"/>
                <w:color w:val="ED7D31"/>
                <w:sz w:val="16"/>
              </w:rPr>
              <w:t xml:space="preserve">●</w:t>
            </w:r>
            <w:r>
              <w:rPr>
                <w:rFonts w:ascii="Helvetica" w:hAnsi="Helvetica" w:cs="Helvetica" w:eastAsia="Helvetica"/>
                <w:color w:val="000000"/>
                <w:sz w:val="16"/>
              </w:rPr>
              <w:t xml:space="preserve"> P2</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4</w:t>
            </w:r>
          </w:p>
        </w:tc>
        <w:tc>
          <w:tcPr>
            <w:tcW w:type="dxa" w:w="3175"/>
          </w:tcPr>
          <w:p>
            <w:pPr>
              <w:spacing w:after="40" w:before="40" w:line="240" w:lineRule="auto"/>
              <w:jc w:val="left"/>
            </w:pPr>
            <w:r>
              <w:rPr>
                <w:rFonts w:ascii="Helvetica" w:hAnsi="Helvetica" w:cs="Helvetica" w:eastAsia="Helvetica"/>
                <w:color w:val="000000"/>
                <w:sz w:val="16"/>
              </w:rPr>
              <w:t>Les pertes probables sur les prêts du Grenier ne sont pas comptées</w:t>
            </w:r>
          </w:p>
        </w:tc>
        <w:tc>
          <w:tcPr>
            <w:tcW w:type="dxa" w:w="4422"/>
          </w:tcPr>
          <w:p>
            <w:pPr>
              <w:spacing w:after="40" w:before="40" w:line="240" w:lineRule="auto"/>
              <w:jc w:val="left"/>
            </w:pPr>
            <w:r>
              <w:rPr>
                <w:rFonts w:ascii="Helvetica" w:hAnsi="Helvetica" w:cs="Helvetica" w:eastAsia="Helvetica"/>
                <w:color w:val="000000"/>
                <w:sz w:val="16"/>
              </w:rPr>
              <w:t>Comptabiliser chaque année la dépréciation des prêts en retard, selon la politique de crédit du Grenier.</w:t>
            </w:r>
          </w:p>
        </w:tc>
        <w:tc>
          <w:tcPr>
            <w:tcW w:type="dxa" w:w="1134"/>
          </w:tcPr>
          <w:p>
            <w:pPr>
              <w:spacing w:after="40" w:before="40" w:line="240" w:lineRule="auto"/>
              <w:jc w:val="left"/>
            </w:pPr>
            <w:r>
              <w:rPr>
                <w:rFonts w:ascii="Helvetica" w:hAnsi="Helvetica" w:cs="Helvetica" w:eastAsia="Helvetica"/>
                <w:color w:val="000000"/>
                <w:sz w:val="16"/>
              </w:rPr>
              <w:t>Faible</w:t>
            </w:r>
          </w:p>
        </w:tc>
        <w:tc>
          <w:tcPr>
            <w:tcW w:type="dxa" w:w="1134"/>
          </w:tcPr>
          <w:p>
            <w:pPr>
              <w:spacing w:after="40" w:before="40" w:line="240" w:lineRule="auto"/>
              <w:jc w:val="left"/>
            </w:pPr>
            <w:r>
              <w:rPr>
                <w:rFonts w:ascii="Helvetica" w:hAnsi="Helvetica" w:cs="Helvetica" w:eastAsia="Helvetica"/>
                <w:color w:val="FFC000"/>
                <w:sz w:val="16"/>
              </w:rPr>
              <w:t xml:space="preserve">●</w:t>
            </w:r>
            <w:r>
              <w:rPr>
                <w:rFonts w:ascii="Helvetica" w:hAnsi="Helvetica" w:cs="Helvetica" w:eastAsia="Helvetica"/>
                <w:color w:val="000000"/>
                <w:sz w:val="16"/>
              </w:rPr>
              <w:t xml:space="preserve"> P3</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13</w:t>
            </w:r>
          </w:p>
        </w:tc>
        <w:tc>
          <w:tcPr>
            <w:tcW w:type="dxa" w:w="3175"/>
            <w:shd w:val="clear" w:color="auto" w:fill="E8E8E8"/>
          </w:tcPr>
          <w:p>
            <w:pPr>
              <w:spacing w:after="40" w:before="40" w:line="240" w:lineRule="auto"/>
              <w:jc w:val="left"/>
            </w:pPr>
            <w:r>
              <w:rPr>
                <w:rFonts w:ascii="Helvetica" w:hAnsi="Helvetica" w:cs="Helvetica" w:eastAsia="Helvetica"/>
                <w:color w:val="000000"/>
                <w:sz w:val="16"/>
              </w:rPr>
              <w:t>Une partie de la trésorerie dort sans rapporter</w:t>
            </w:r>
          </w:p>
        </w:tc>
        <w:tc>
          <w:tcPr>
            <w:tcW w:type="dxa" w:w="4422"/>
            <w:shd w:val="clear" w:color="auto" w:fill="E8E8E8"/>
          </w:tcPr>
          <w:p>
            <w:pPr>
              <w:spacing w:after="40" w:before="40" w:line="240" w:lineRule="auto"/>
              <w:jc w:val="left"/>
            </w:pPr>
            <w:r>
              <w:rPr>
                <w:rFonts w:ascii="Helvetica" w:hAnsi="Helvetica" w:cs="Helvetica" w:eastAsia="Helvetica"/>
                <w:color w:val="000000"/>
                <w:sz w:val="16"/>
              </w:rPr>
              <w:t>Placer à court terme la part de trésorerie qui n'est pas nécessaire aux paiements du mois.</w:t>
            </w:r>
          </w:p>
        </w:tc>
        <w:tc>
          <w:tcPr>
            <w:tcW w:type="dxa" w:w="1134"/>
            <w:shd w:val="clear" w:color="auto" w:fill="E8E8E8"/>
          </w:tcPr>
          <w:p>
            <w:pPr>
              <w:spacing w:after="40" w:before="40" w:line="240" w:lineRule="auto"/>
              <w:jc w:val="left"/>
            </w:pPr>
            <w:r>
              <w:rPr>
                <w:rFonts w:ascii="Helvetica" w:hAnsi="Helvetica" w:cs="Helvetica" w:eastAsia="Helvetica"/>
                <w:color w:val="000000"/>
                <w:sz w:val="16"/>
              </w:rPr>
              <w:t>Faible</w:t>
            </w:r>
          </w:p>
        </w:tc>
        <w:tc>
          <w:tcPr>
            <w:tcW w:type="dxa" w:w="1134"/>
            <w:shd w:val="clear" w:color="auto" w:fill="E8E8E8"/>
          </w:tcPr>
          <w:p>
            <w:pPr>
              <w:spacing w:after="40" w:before="40" w:line="240" w:lineRule="auto"/>
              <w:jc w:val="left"/>
            </w:pPr>
            <w:r>
              <w:rPr>
                <w:rFonts w:ascii="Helvetica" w:hAnsi="Helvetica" w:cs="Helvetica" w:eastAsia="Helvetica"/>
                <w:color w:val="FFC000"/>
                <w:sz w:val="16"/>
              </w:rPr>
              <w:t xml:space="preserve">●</w:t>
            </w:r>
            <w:r>
              <w:rPr>
                <w:rFonts w:ascii="Helvetica" w:hAnsi="Helvetica" w:cs="Helvetica" w:eastAsia="Helvetica"/>
                <w:color w:val="000000"/>
                <w:sz w:val="16"/>
              </w:rPr>
              <w:t xml:space="preserve"> P3</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18</w:t>
            </w:r>
          </w:p>
        </w:tc>
        <w:tc>
          <w:tcPr>
            <w:tcW w:type="dxa" w:w="3175"/>
          </w:tcPr>
          <w:p>
            <w:pPr>
              <w:spacing w:after="40" w:before="40" w:line="240" w:lineRule="auto"/>
              <w:jc w:val="left"/>
            </w:pPr>
            <w:r>
              <w:rPr>
                <w:rFonts w:ascii="Helvetica" w:hAnsi="Helvetica" w:cs="Helvetica" w:eastAsia="Helvetica"/>
                <w:color w:val="000000"/>
                <w:sz w:val="16"/>
              </w:rPr>
              <w:t>Des sommes durables sont rangées en comptes d'attente</w:t>
            </w:r>
          </w:p>
        </w:tc>
        <w:tc>
          <w:tcPr>
            <w:tcW w:type="dxa" w:w="4422"/>
          </w:tcPr>
          <w:p>
            <w:pPr>
              <w:spacing w:after="40" w:before="40" w:line="240" w:lineRule="auto"/>
              <w:jc w:val="left"/>
            </w:pPr>
            <w:r>
              <w:rPr>
                <w:rFonts w:ascii="Helvetica" w:hAnsi="Helvetica" w:cs="Helvetica" w:eastAsia="Helvetica"/>
                <w:color w:val="000000"/>
                <w:sz w:val="16"/>
              </w:rPr>
              <w:t>Reclasser ces sommes dans les comptes prévus par le plan comptable des mutuelles.</w:t>
            </w:r>
          </w:p>
        </w:tc>
        <w:tc>
          <w:tcPr>
            <w:tcW w:type="dxa" w:w="1134"/>
          </w:tcPr>
          <w:p>
            <w:pPr>
              <w:spacing w:after="40" w:before="40" w:line="240" w:lineRule="auto"/>
              <w:jc w:val="left"/>
            </w:pPr>
            <w:r>
              <w:rPr>
                <w:rFonts w:ascii="Helvetica" w:hAnsi="Helvetica" w:cs="Helvetica" w:eastAsia="Helvetica"/>
                <w:color w:val="000000"/>
                <w:sz w:val="16"/>
              </w:rPr>
              <w:t>Faible</w:t>
            </w:r>
          </w:p>
        </w:tc>
        <w:tc>
          <w:tcPr>
            <w:tcW w:type="dxa" w:w="1134"/>
          </w:tcPr>
          <w:p>
            <w:pPr>
              <w:spacing w:after="40" w:before="40" w:line="240" w:lineRule="auto"/>
              <w:jc w:val="left"/>
            </w:pPr>
            <w:r>
              <w:rPr>
                <w:rFonts w:ascii="Helvetica" w:hAnsi="Helvetica" w:cs="Helvetica" w:eastAsia="Helvetica"/>
                <w:color w:val="FFC000"/>
                <w:sz w:val="16"/>
              </w:rPr>
              <w:t xml:space="preserve">●</w:t>
            </w:r>
            <w:r>
              <w:rPr>
                <w:rFonts w:ascii="Helvetica" w:hAnsi="Helvetica" w:cs="Helvetica" w:eastAsia="Helvetica"/>
                <w:color w:val="000000"/>
                <w:sz w:val="16"/>
              </w:rPr>
              <w:t xml:space="preserve"> P3</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28</w:t>
            </w:r>
          </w:p>
        </w:tc>
        <w:tc>
          <w:tcPr>
            <w:tcW w:type="dxa" w:w="3175"/>
            <w:shd w:val="clear" w:color="auto" w:fill="E8E8E8"/>
          </w:tcPr>
          <w:p>
            <w:pPr>
              <w:spacing w:after="40" w:before="40" w:line="240" w:lineRule="auto"/>
              <w:jc w:val="left"/>
            </w:pPr>
            <w:r>
              <w:rPr>
                <w:rFonts w:ascii="Helvetica" w:hAnsi="Helvetica" w:cs="Helvetica" w:eastAsia="Helvetica"/>
                <w:color w:val="000000"/>
                <w:sz w:val="16"/>
              </w:rPr>
              <w:t>Deux versions des comptes 2023 existent</w:t>
            </w:r>
          </w:p>
        </w:tc>
        <w:tc>
          <w:tcPr>
            <w:tcW w:type="dxa" w:w="4422"/>
            <w:shd w:val="clear" w:color="auto" w:fill="E8E8E8"/>
          </w:tcPr>
          <w:p>
            <w:pPr>
              <w:spacing w:after="40" w:before="40" w:line="240" w:lineRule="auto"/>
              <w:jc w:val="left"/>
            </w:pPr>
            <w:r>
              <w:rPr>
                <w:rFonts w:ascii="Helvetica" w:hAnsi="Helvetica" w:cs="Helvetica" w:eastAsia="Helvetica"/>
                <w:color w:val="000000"/>
                <w:sz w:val="16"/>
              </w:rPr>
              <w:t>Transmettre la version des comptes 2023 approuvée par l'Assemblée générale.</w:t>
            </w:r>
          </w:p>
        </w:tc>
        <w:tc>
          <w:tcPr>
            <w:tcW w:type="dxa" w:w="1134"/>
            <w:shd w:val="clear" w:color="auto" w:fill="E8E8E8"/>
          </w:tcPr>
          <w:p>
            <w:pPr>
              <w:spacing w:after="40" w:before="40" w:line="240" w:lineRule="auto"/>
              <w:jc w:val="left"/>
            </w:pPr>
            <w:r>
              <w:rPr>
                <w:rFonts w:ascii="Helvetica" w:hAnsi="Helvetica" w:cs="Helvetica" w:eastAsia="Helvetica"/>
                <w:color w:val="000000"/>
                <w:sz w:val="16"/>
              </w:rPr>
              <w:t>Faible</w:t>
            </w:r>
          </w:p>
        </w:tc>
        <w:tc>
          <w:tcPr>
            <w:tcW w:type="dxa" w:w="1134"/>
            <w:shd w:val="clear" w:color="auto" w:fill="E8E8E8"/>
          </w:tcPr>
          <w:p>
            <w:pPr>
              <w:spacing w:after="40" w:before="40" w:line="240" w:lineRule="auto"/>
              <w:jc w:val="left"/>
            </w:pPr>
            <w:r>
              <w:rPr>
                <w:rFonts w:ascii="Helvetica" w:hAnsi="Helvetica" w:cs="Helvetica" w:eastAsia="Helvetica"/>
                <w:color w:val="FFC000"/>
                <w:sz w:val="16"/>
              </w:rPr>
              <w:t xml:space="preserve">●</w:t>
            </w:r>
            <w:r>
              <w:rPr>
                <w:rFonts w:ascii="Helvetica" w:hAnsi="Helvetica" w:cs="Helvetica" w:eastAsia="Helvetica"/>
                <w:color w:val="000000"/>
                <w:sz w:val="16"/>
              </w:rPr>
              <w:t xml:space="preserve"> P3</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16</w:t>
            </w:r>
          </w:p>
        </w:tc>
        <w:tc>
          <w:tcPr>
            <w:tcW w:type="dxa" w:w="3175"/>
          </w:tcPr>
          <w:p>
            <w:pPr>
              <w:spacing w:after="40" w:before="40" w:line="240" w:lineRule="auto"/>
              <w:jc w:val="left"/>
            </w:pPr>
            <w:r>
              <w:rPr>
                <w:rFonts w:ascii="Helvetica" w:hAnsi="Helvetica" w:cs="Helvetica" w:eastAsia="Helvetica"/>
                <w:color w:val="000000"/>
                <w:sz w:val="16"/>
              </w:rPr>
              <w:t>Les frais de fonctionnement dépassent la norme</w:t>
            </w:r>
          </w:p>
        </w:tc>
        <w:tc>
          <w:tcPr>
            <w:tcW w:type="dxa" w:w="4422"/>
          </w:tcPr>
          <w:p>
            <w:pPr>
              <w:spacing w:after="40" w:before="40" w:line="240" w:lineRule="auto"/>
              <w:jc w:val="left"/>
            </w:pPr>
            <w:r>
              <w:rPr>
                <w:rFonts w:ascii="Helvetica" w:hAnsi="Helvetica" w:cs="Helvetica" w:eastAsia="Helvetica"/>
                <w:color w:val="000000"/>
                <w:sz w:val="16"/>
              </w:rPr>
              <w:t>Fixer un budget de fonctionnement avec un objectif de baisse vers 20 % des cotisations.</w:t>
            </w:r>
          </w:p>
        </w:tc>
        <w:tc>
          <w:tcPr>
            <w:tcW w:type="dxa" w:w="1134"/>
          </w:tcPr>
          <w:p>
            <w:pPr>
              <w:spacing w:after="40" w:before="40" w:line="240" w:lineRule="auto"/>
              <w:jc w:val="left"/>
            </w:pPr>
            <w:r>
              <w:rPr>
                <w:rFonts w:ascii="Helvetica" w:hAnsi="Helvetica" w:cs="Helvetica" w:eastAsia="Helvetica"/>
                <w:color w:val="000000"/>
                <w:sz w:val="16"/>
              </w:rPr>
              <w:t>Moyenne</w:t>
            </w:r>
          </w:p>
        </w:tc>
        <w:tc>
          <w:tcPr>
            <w:tcW w:type="dxa" w:w="1134"/>
          </w:tcPr>
          <w:p>
            <w:pPr>
              <w:spacing w:after="40" w:before="40" w:line="240" w:lineRule="auto"/>
              <w:jc w:val="left"/>
            </w:pPr>
            <w:r>
              <w:rPr>
                <w:rFonts w:ascii="Helvetica" w:hAnsi="Helvetica" w:cs="Helvetica" w:eastAsia="Helvetica"/>
                <w:color w:val="FFC000"/>
                <w:sz w:val="16"/>
              </w:rPr>
              <w:t xml:space="preserve">●</w:t>
            </w:r>
            <w:r>
              <w:rPr>
                <w:rFonts w:ascii="Helvetica" w:hAnsi="Helvetica" w:cs="Helvetica" w:eastAsia="Helvetica"/>
                <w:color w:val="000000"/>
                <w:sz w:val="16"/>
              </w:rPr>
              <w:t xml:space="preserve"> P3</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22</w:t>
            </w:r>
          </w:p>
        </w:tc>
        <w:tc>
          <w:tcPr>
            <w:tcW w:type="dxa" w:w="3175"/>
            <w:shd w:val="clear" w:color="auto" w:fill="E8E8E8"/>
          </w:tcPr>
          <w:p>
            <w:pPr>
              <w:spacing w:after="40" w:before="40" w:line="240" w:lineRule="auto"/>
              <w:jc w:val="left"/>
            </w:pPr>
            <w:r>
              <w:rPr>
                <w:rFonts w:ascii="Helvetica" w:hAnsi="Helvetica" w:cs="Helvetica" w:eastAsia="Helvetica"/>
                <w:color w:val="000000"/>
                <w:sz w:val="16"/>
              </w:rPr>
              <w:t>Le coût des soins des policiers retraités n'est pas suivi</w:t>
            </w:r>
          </w:p>
        </w:tc>
        <w:tc>
          <w:tcPr>
            <w:tcW w:type="dxa" w:w="4422"/>
            <w:shd w:val="clear" w:color="auto" w:fill="E8E8E8"/>
          </w:tcPr>
          <w:p>
            <w:pPr>
              <w:spacing w:after="40" w:before="40" w:line="240" w:lineRule="auto"/>
              <w:jc w:val="left"/>
            </w:pPr>
            <w:r>
              <w:rPr>
                <w:rFonts w:ascii="Helvetica" w:hAnsi="Helvetica" w:cs="Helvetica" w:eastAsia="Helvetica"/>
                <w:color w:val="000000"/>
                <w:sz w:val="16"/>
              </w:rPr>
              <w:t>Suivre séparément les soins des retraités.</w:t>
            </w:r>
          </w:p>
        </w:tc>
        <w:tc>
          <w:tcPr>
            <w:tcW w:type="dxa" w:w="1134"/>
            <w:shd w:val="clear" w:color="auto" w:fill="E8E8E8"/>
          </w:tcPr>
          <w:p>
            <w:pPr>
              <w:spacing w:after="40" w:before="40" w:line="240" w:lineRule="auto"/>
              <w:jc w:val="left"/>
            </w:pPr>
            <w:r>
              <w:rPr>
                <w:rFonts w:ascii="Helvetica" w:hAnsi="Helvetica" w:cs="Helvetica" w:eastAsia="Helvetica"/>
                <w:color w:val="000000"/>
                <w:sz w:val="16"/>
              </w:rPr>
              <w:t>Moyenne</w:t>
            </w:r>
          </w:p>
        </w:tc>
        <w:tc>
          <w:tcPr>
            <w:tcW w:type="dxa" w:w="1134"/>
            <w:shd w:val="clear" w:color="auto" w:fill="E8E8E8"/>
          </w:tcPr>
          <w:p>
            <w:pPr>
              <w:spacing w:after="40" w:before="40" w:line="240" w:lineRule="auto"/>
              <w:jc w:val="left"/>
            </w:pPr>
            <w:r>
              <w:rPr>
                <w:rFonts w:ascii="Helvetica" w:hAnsi="Helvetica" w:cs="Helvetica" w:eastAsia="Helvetica"/>
                <w:color w:val="FFC000"/>
                <w:sz w:val="16"/>
              </w:rPr>
              <w:t xml:space="preserve">●</w:t>
            </w:r>
            <w:r>
              <w:rPr>
                <w:rFonts w:ascii="Helvetica" w:hAnsi="Helvetica" w:cs="Helvetica" w:eastAsia="Helvetica"/>
                <w:color w:val="000000"/>
                <w:sz w:val="16"/>
              </w:rPr>
              <w:t xml:space="preserve"> P3</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25</w:t>
            </w:r>
          </w:p>
        </w:tc>
        <w:tc>
          <w:tcPr>
            <w:tcW w:type="dxa" w:w="3175"/>
          </w:tcPr>
          <w:p>
            <w:pPr>
              <w:spacing w:after="40" w:before="40" w:line="240" w:lineRule="auto"/>
              <w:jc w:val="left"/>
            </w:pPr>
            <w:r>
              <w:rPr>
                <w:rFonts w:ascii="Helvetica" w:hAnsi="Helvetica" w:cs="Helvetica" w:eastAsia="Helvetica"/>
                <w:color w:val="000000"/>
                <w:sz w:val="16"/>
              </w:rPr>
              <w:t>Le Grenier grandit très vite avec l'argent de l'épargne</w:t>
            </w:r>
          </w:p>
        </w:tc>
        <w:tc>
          <w:tcPr>
            <w:tcW w:type="dxa" w:w="4422"/>
          </w:tcPr>
          <w:p>
            <w:pPr>
              <w:spacing w:after="40" w:before="40" w:line="240" w:lineRule="auto"/>
              <w:jc w:val="left"/>
            </w:pPr>
            <w:r>
              <w:rPr>
                <w:rFonts w:ascii="Helvetica" w:hAnsi="Helvetica" w:cs="Helvetica" w:eastAsia="Helvetica"/>
                <w:color w:val="000000"/>
                <w:sz w:val="16"/>
              </w:rPr>
              <w:t>Fixer par décision un plafond de financement du Grenier par le FPPN.</w:t>
            </w:r>
          </w:p>
        </w:tc>
        <w:tc>
          <w:tcPr>
            <w:tcW w:type="dxa" w:w="1134"/>
          </w:tcPr>
          <w:p>
            <w:pPr>
              <w:spacing w:after="40" w:before="40" w:line="240" w:lineRule="auto"/>
              <w:jc w:val="left"/>
            </w:pPr>
            <w:r>
              <w:rPr>
                <w:rFonts w:ascii="Helvetica" w:hAnsi="Helvetica" w:cs="Helvetica" w:eastAsia="Helvetica"/>
                <w:color w:val="000000"/>
                <w:sz w:val="16"/>
              </w:rPr>
              <w:t>Moyenne</w:t>
            </w:r>
          </w:p>
        </w:tc>
        <w:tc>
          <w:tcPr>
            <w:tcW w:type="dxa" w:w="1134"/>
          </w:tcPr>
          <w:p>
            <w:pPr>
              <w:spacing w:after="40" w:before="40" w:line="240" w:lineRule="auto"/>
              <w:jc w:val="left"/>
            </w:pPr>
            <w:r>
              <w:rPr>
                <w:rFonts w:ascii="Helvetica" w:hAnsi="Helvetica" w:cs="Helvetica" w:eastAsia="Helvetica"/>
                <w:color w:val="FFC000"/>
                <w:sz w:val="16"/>
              </w:rPr>
              <w:t xml:space="preserve">●</w:t>
            </w:r>
            <w:r>
              <w:rPr>
                <w:rFonts w:ascii="Helvetica" w:hAnsi="Helvetica" w:cs="Helvetica" w:eastAsia="Helvetica"/>
                <w:color w:val="000000"/>
                <w:sz w:val="16"/>
              </w:rPr>
              <w:t xml:space="preserve"> P3</w:t>
            </w:r>
          </w:p>
        </w:tc>
      </w:tr>
      <w:tr>
        <w:tc>
          <w:tcPr>
            <w:tcW w:type="dxa" w:w="567"/>
            <w:shd w:val="clear" w:color="auto" w:fill="CCCCCC"/>
          </w:tcPr>
          <w:p>
            <w:pPr>
              <w:spacing w:after="40" w:before="40" w:line="240" w:lineRule="auto"/>
              <w:jc w:val="left"/>
            </w:pPr>
            <w:r>
              <w:rPr>
                <w:rFonts w:ascii="Helvetica" w:hAnsi="Helvetica" w:cs="Helvetica" w:eastAsia="Helvetica"/>
                <w:b/>
                <w:color w:val="000000"/>
                <w:sz w:val="16"/>
              </w:rPr>
              <w:t>5</w:t>
            </w:r>
          </w:p>
        </w:tc>
        <w:tc>
          <w:tcPr>
            <w:tcW w:type="dxa" w:w="3175"/>
            <w:shd w:val="clear" w:color="auto" w:fill="E8E8E8"/>
          </w:tcPr>
          <w:p>
            <w:pPr>
              <w:spacing w:after="40" w:before="40" w:line="240" w:lineRule="auto"/>
              <w:jc w:val="left"/>
            </w:pPr>
            <w:r>
              <w:rPr>
                <w:rFonts w:ascii="Helvetica" w:hAnsi="Helvetica" w:cs="Helvetica" w:eastAsia="Helvetica"/>
                <w:color w:val="000000"/>
                <w:sz w:val="16"/>
              </w:rPr>
              <w:t>La provision pour le départ à la retraite du personnel est suffisante</w:t>
            </w:r>
          </w:p>
        </w:tc>
        <w:tc>
          <w:tcPr>
            <w:tcW w:type="dxa" w:w="4422"/>
            <w:shd w:val="clear" w:color="auto" w:fill="E8E8E8"/>
          </w:tcPr>
          <w:p>
            <w:pPr>
              <w:spacing w:after="40" w:before="40" w:line="240" w:lineRule="auto"/>
              <w:jc w:val="left"/>
            </w:pPr>
            <w:r>
              <w:rPr>
                <w:rFonts w:ascii="Helvetica" w:hAnsi="Helvetica" w:cs="Helvetica" w:eastAsia="Helvetica"/>
                <w:color w:val="000000"/>
                <w:sz w:val="16"/>
              </w:rPr>
              <w:t>Rédiger une note de calcul annuelle de cette provision (méthode, liste des salariés).</w:t>
            </w:r>
          </w:p>
        </w:tc>
        <w:tc>
          <w:tcPr>
            <w:tcW w:type="dxa" w:w="1134"/>
            <w:shd w:val="clear" w:color="auto" w:fill="E8E8E8"/>
          </w:tcPr>
          <w:p>
            <w:pPr>
              <w:spacing w:after="40" w:before="40" w:line="240" w:lineRule="auto"/>
              <w:jc w:val="left"/>
            </w:pPr>
            <w:r>
              <w:rPr>
                <w:rFonts w:ascii="Helvetica" w:hAnsi="Helvetica" w:cs="Helvetica" w:eastAsia="Helvetica"/>
                <w:color w:val="000000"/>
                <w:sz w:val="16"/>
              </w:rPr>
              <w:t>Faible</w:t>
            </w:r>
          </w:p>
        </w:tc>
        <w:tc>
          <w:tcPr>
            <w:tcW w:type="dxa" w:w="1134"/>
            <w:shd w:val="clear" w:color="auto" w:fill="E8E8E8"/>
          </w:tcPr>
          <w:p>
            <w:pPr>
              <w:spacing w:after="40" w:before="40" w:line="240" w:lineRule="auto"/>
              <w:jc w:val="left"/>
            </w:pPr>
            <w:r>
              <w:rPr>
                <w:rFonts w:ascii="Helvetica" w:hAnsi="Helvetica" w:cs="Helvetica" w:eastAsia="Helvetica"/>
                <w:color w:val="70AD47"/>
                <w:sz w:val="16"/>
              </w:rPr>
              <w:t xml:space="preserve">●</w:t>
            </w:r>
            <w:r>
              <w:rPr>
                <w:rFonts w:ascii="Helvetica" w:hAnsi="Helvetica" w:cs="Helvetica" w:eastAsia="Helvetica"/>
                <w:color w:val="000000"/>
                <w:sz w:val="16"/>
              </w:rPr>
              <w:t xml:space="preserve"> P4</w:t>
            </w:r>
          </w:p>
        </w:tc>
      </w:tr>
    </w:tbl>
    <w:p>
      <w:pPr>
        <w:spacing w:after="200"/>
        <w:jc w:val="left"/>
      </w:pPr>
      <w:r>
        <w:rPr>
          <w:rFonts w:ascii="Helvetica" w:hAnsi="Helvetica" w:cs="Helvetica" w:eastAsia="Helvetica"/>
          <w:color w:val="000000"/>
          <w:sz w:val="16"/>
        </w:rPr>
        <w:t>Source : Rapport actuariel et statistique du 23/10/2026 ; analyses Adenka.</w:t>
      </w:r>
    </w:p>
    <w:p>
      <w:pPr>
        <w:pStyle w:val="Heading2"/>
      </w:pPr>
      <w:r>
        <w:t>5.2. CE QUI N'A PAS ENCORE PU ÊTRE VÉRIFIÉ, ET POURQUOI</w:t>
      </w:r>
    </w:p>
    <w:p>
      <w:pPr/>
      <w:r>
        <w:rPr>
          <w:rFonts w:ascii="Helvetica" w:hAnsi="Helvetica" w:cs="Helvetica" w:eastAsia="Helvetica"/>
          <w:b/>
          <w:color w:val="000000"/>
        </w:rPr>
        <w:t>Les limites ci-dessous changent la précision des montants, pas le sens des conclusions.</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5</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Les vérifications restant à faire</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2835"/>
        <w:gridCol w:w="4535"/>
        <w:gridCol w:w="3061"/>
      </w:tblGrid>
      <w:tr>
        <w:trPr>
          <w:tblHeader/>
        </w:trPr>
        <w:tc>
          <w:tcPr>
            <w:tcW w:type="dxa" w:w="2835"/>
            <w:shd w:val="clear" w:color="auto" w:fill="000000"/>
          </w:tcPr>
          <w:p>
            <w:pPr>
              <w:spacing w:after="40" w:before="40" w:line="240" w:lineRule="auto"/>
              <w:jc w:val="left"/>
            </w:pPr>
            <w:r>
              <w:rPr>
                <w:rFonts w:ascii="Helvetica" w:hAnsi="Helvetica" w:cs="Helvetica" w:eastAsia="Helvetica"/>
                <w:b/>
                <w:color w:val="FFFFFF"/>
                <w:sz w:val="18"/>
              </w:rPr>
              <w:t>Ce qui manque</w:t>
            </w:r>
          </w:p>
        </w:tc>
        <w:tc>
          <w:tcPr>
            <w:tcW w:type="dxa" w:w="4535"/>
            <w:shd w:val="clear" w:color="auto" w:fill="000000"/>
          </w:tcPr>
          <w:p>
            <w:pPr>
              <w:spacing w:after="40" w:before="40" w:line="240" w:lineRule="auto"/>
              <w:jc w:val="center"/>
            </w:pPr>
            <w:r>
              <w:rPr>
                <w:rFonts w:ascii="Helvetica" w:hAnsi="Helvetica" w:cs="Helvetica" w:eastAsia="Helvetica"/>
                <w:b/>
                <w:color w:val="FFFFFF"/>
                <w:sz w:val="18"/>
              </w:rPr>
              <w:t>Ce que cela empêche de vérifier</w:t>
            </w:r>
          </w:p>
        </w:tc>
        <w:tc>
          <w:tcPr>
            <w:tcW w:type="dxa" w:w="3061"/>
            <w:shd w:val="clear" w:color="auto" w:fill="000000"/>
          </w:tcPr>
          <w:p>
            <w:pPr>
              <w:spacing w:after="40" w:before="40" w:line="240" w:lineRule="auto"/>
              <w:jc w:val="center"/>
            </w:pPr>
            <w:r>
              <w:rPr>
                <w:rFonts w:ascii="Helvetica" w:hAnsi="Helvetica" w:cs="Helvetica" w:eastAsia="Helvetica"/>
                <w:b/>
                <w:color w:val="FFFFFF"/>
                <w:sz w:val="18"/>
              </w:rPr>
              <w:t>Document attendu du FPPN</w:t>
            </w:r>
          </w:p>
        </w:tc>
      </w:tr>
      <w:tr>
        <w:tc>
          <w:tcPr>
            <w:tcW w:type="dxa" w:w="2835"/>
            <w:shd w:val="clear" w:color="auto" w:fill="CCCCCC"/>
          </w:tcPr>
          <w:p>
            <w:pPr>
              <w:spacing w:after="40" w:before="40" w:line="240" w:lineRule="auto"/>
              <w:jc w:val="left"/>
            </w:pPr>
            <w:r>
              <w:rPr>
                <w:rFonts w:ascii="Helvetica" w:hAnsi="Helvetica" w:cs="Helvetica" w:eastAsia="Helvetica"/>
                <w:b/>
                <w:color w:val="000000"/>
                <w:sz w:val="18"/>
              </w:rPr>
              <w:t>Dates des soins, du dépôt et du paiement de chaque facture</w:t>
            </w:r>
          </w:p>
        </w:tc>
        <w:tc>
          <w:tcPr>
            <w:tcW w:type="dxa" w:w="4535"/>
          </w:tcPr>
          <w:p>
            <w:pPr>
              <w:spacing w:after="40" w:before="40" w:line="240" w:lineRule="auto"/>
              <w:jc w:val="left"/>
            </w:pPr>
            <w:r>
              <w:rPr>
                <w:rFonts w:ascii="Helvetica" w:hAnsi="Helvetica" w:cs="Helvetica" w:eastAsia="Helvetica"/>
                <w:color w:val="000000"/>
                <w:sz w:val="18"/>
              </w:rPr>
              <w:t>Les provisions maladie dossier par dossier, et la comparaison des provisions passées avec les paiements réels</w:t>
            </w:r>
          </w:p>
        </w:tc>
        <w:tc>
          <w:tcPr>
            <w:tcW w:type="dxa" w:w="3061"/>
          </w:tcPr>
          <w:p>
            <w:pPr>
              <w:spacing w:after="40" w:before="40" w:line="240" w:lineRule="auto"/>
              <w:jc w:val="left"/>
            </w:pPr>
            <w:r>
              <w:rPr>
                <w:rFonts w:ascii="Helvetica" w:hAnsi="Helvetica" w:cs="Helvetica" w:eastAsia="Helvetica"/>
                <w:color w:val="000000"/>
                <w:sz w:val="18"/>
              </w:rPr>
              <w:t>Base des prestations datée</w:t>
            </w:r>
          </w:p>
        </w:tc>
      </w:tr>
      <w:tr>
        <w:tc>
          <w:tcPr>
            <w:tcW w:type="dxa" w:w="2835"/>
            <w:shd w:val="clear" w:color="auto" w:fill="CCCCCC"/>
          </w:tcPr>
          <w:p>
            <w:pPr>
              <w:spacing w:after="40" w:before="40" w:line="240" w:lineRule="auto"/>
              <w:jc w:val="left"/>
            </w:pPr>
            <w:r>
              <w:rPr>
                <w:rFonts w:ascii="Helvetica" w:hAnsi="Helvetica" w:cs="Helvetica" w:eastAsia="Helvetica"/>
                <w:b/>
                <w:color w:val="000000"/>
                <w:sz w:val="18"/>
              </w:rPr>
              <w:t>Dates de naissance des policiers et des retraités</w:t>
            </w:r>
          </w:p>
        </w:tc>
        <w:tc>
          <w:tcPr>
            <w:tcW w:type="dxa" w:w="4535"/>
            <w:shd w:val="clear" w:color="auto" w:fill="E8E8E8"/>
          </w:tcPr>
          <w:p>
            <w:pPr>
              <w:spacing w:after="40" w:before="40" w:line="240" w:lineRule="auto"/>
              <w:jc w:val="left"/>
            </w:pPr>
            <w:r>
              <w:rPr>
                <w:rFonts w:ascii="Helvetica" w:hAnsi="Helvetica" w:cs="Helvetica" w:eastAsia="Helvetica"/>
                <w:color w:val="000000"/>
                <w:sz w:val="18"/>
              </w:rPr>
              <w:t>La mortalité par âge, l'engagement santé des retraités, la projection par âge</w:t>
            </w:r>
          </w:p>
        </w:tc>
        <w:tc>
          <w:tcPr>
            <w:tcW w:type="dxa" w:w="3061"/>
            <w:shd w:val="clear" w:color="auto" w:fill="E8E8E8"/>
          </w:tcPr>
          <w:p>
            <w:pPr>
              <w:spacing w:after="40" w:before="40" w:line="240" w:lineRule="auto"/>
              <w:jc w:val="left"/>
            </w:pPr>
            <w:r>
              <w:rPr>
                <w:rFonts w:ascii="Helvetica" w:hAnsi="Helvetica" w:cs="Helvetica" w:eastAsia="Helvetica"/>
                <w:color w:val="000000"/>
                <w:sz w:val="18"/>
              </w:rPr>
              <w:t>Fichier des mutualistes, fichiers de la CGRAE</w:t>
            </w:r>
          </w:p>
        </w:tc>
      </w:tr>
      <w:tr>
        <w:tc>
          <w:tcPr>
            <w:tcW w:type="dxa" w:w="2835"/>
            <w:shd w:val="clear" w:color="auto" w:fill="CCCCCC"/>
          </w:tcPr>
          <w:p>
            <w:pPr>
              <w:spacing w:after="40" w:before="40" w:line="240" w:lineRule="auto"/>
              <w:jc w:val="left"/>
            </w:pPr>
            <w:r>
              <w:rPr>
                <w:rFonts w:ascii="Helvetica" w:hAnsi="Helvetica" w:cs="Helvetica" w:eastAsia="Helvetica"/>
                <w:b/>
                <w:color w:val="000000"/>
                <w:sz w:val="18"/>
              </w:rPr>
              <w:t>Comptes individuels d'épargne et taux officiel</w:t>
            </w:r>
          </w:p>
        </w:tc>
        <w:tc>
          <w:tcPr>
            <w:tcW w:type="dxa" w:w="4535"/>
          </w:tcPr>
          <w:p>
            <w:pPr>
              <w:spacing w:after="40" w:before="40" w:line="240" w:lineRule="auto"/>
              <w:jc w:val="left"/>
            </w:pPr>
            <w:r>
              <w:rPr>
                <w:rFonts w:ascii="Helvetica" w:hAnsi="Helvetica" w:cs="Helvetica" w:eastAsia="Helvetica"/>
                <w:color w:val="000000"/>
                <w:sz w:val="18"/>
              </w:rPr>
              <w:t>L'épargne due à chaque policier et le montant exact des intérêts</w:t>
            </w:r>
          </w:p>
        </w:tc>
        <w:tc>
          <w:tcPr>
            <w:tcW w:type="dxa" w:w="3061"/>
          </w:tcPr>
          <w:p>
            <w:pPr>
              <w:spacing w:after="40" w:before="40" w:line="240" w:lineRule="auto"/>
              <w:jc w:val="left"/>
            </w:pPr>
            <w:r>
              <w:rPr>
                <w:rFonts w:ascii="Helvetica" w:hAnsi="Helvetica" w:cs="Helvetica" w:eastAsia="Helvetica"/>
                <w:color w:val="000000"/>
                <w:sz w:val="18"/>
              </w:rPr>
              <w:t>Relevés individuels, délibération sur le taux</w:t>
            </w:r>
          </w:p>
        </w:tc>
      </w:tr>
      <w:tr>
        <w:tc>
          <w:tcPr>
            <w:tcW w:type="dxa" w:w="2835"/>
            <w:shd w:val="clear" w:color="auto" w:fill="CCCCCC"/>
          </w:tcPr>
          <w:p>
            <w:pPr>
              <w:spacing w:after="40" w:before="40" w:line="240" w:lineRule="auto"/>
              <w:jc w:val="left"/>
            </w:pPr>
            <w:r>
              <w:rPr>
                <w:rFonts w:ascii="Helvetica" w:hAnsi="Helvetica" w:cs="Helvetica" w:eastAsia="Helvetica"/>
                <w:b/>
                <w:color w:val="000000"/>
                <w:sz w:val="18"/>
              </w:rPr>
              <w:t>Valeur de la clinique et des terrains</w:t>
            </w:r>
          </w:p>
        </w:tc>
        <w:tc>
          <w:tcPr>
            <w:tcW w:type="dxa" w:w="4535"/>
            <w:shd w:val="clear" w:color="auto" w:fill="E8E8E8"/>
          </w:tcPr>
          <w:p>
            <w:pPr>
              <w:spacing w:after="40" w:before="40" w:line="240" w:lineRule="auto"/>
              <w:jc w:val="left"/>
            </w:pPr>
            <w:r>
              <w:rPr>
                <w:rFonts w:ascii="Helvetica" w:hAnsi="Helvetica" w:cs="Helvetica" w:eastAsia="Helvetica"/>
                <w:color w:val="000000"/>
                <w:sz w:val="18"/>
              </w:rPr>
              <w:t>La couverture réelle des dettes par les biens du FPPN</w:t>
            </w:r>
          </w:p>
        </w:tc>
        <w:tc>
          <w:tcPr>
            <w:tcW w:type="dxa" w:w="3061"/>
            <w:shd w:val="clear" w:color="auto" w:fill="E8E8E8"/>
          </w:tcPr>
          <w:p>
            <w:pPr>
              <w:spacing w:after="40" w:before="40" w:line="240" w:lineRule="auto"/>
              <w:jc w:val="left"/>
            </w:pPr>
            <w:r>
              <w:rPr>
                <w:rFonts w:ascii="Helvetica" w:hAnsi="Helvetica" w:cs="Helvetica" w:eastAsia="Helvetica"/>
                <w:color w:val="000000"/>
                <w:sz w:val="18"/>
              </w:rPr>
              <w:t>Rapports d'évaluation</w:t>
            </w:r>
          </w:p>
        </w:tc>
      </w:tr>
      <w:tr>
        <w:tc>
          <w:tcPr>
            <w:tcW w:type="dxa" w:w="2835"/>
            <w:shd w:val="clear" w:color="auto" w:fill="CCCCCC"/>
          </w:tcPr>
          <w:p>
            <w:pPr>
              <w:spacing w:after="40" w:before="40" w:line="240" w:lineRule="auto"/>
              <w:jc w:val="left"/>
            </w:pPr>
            <w:r>
              <w:rPr>
                <w:rFonts w:ascii="Helvetica" w:hAnsi="Helvetica" w:cs="Helvetica" w:eastAsia="Helvetica"/>
                <w:b/>
                <w:color w:val="000000"/>
                <w:sz w:val="18"/>
              </w:rPr>
              <w:t>Inventaire signé des placements</w:t>
            </w:r>
          </w:p>
        </w:tc>
        <w:tc>
          <w:tcPr>
            <w:tcW w:type="dxa" w:w="4535"/>
          </w:tcPr>
          <w:p>
            <w:pPr>
              <w:spacing w:after="40" w:before="40" w:line="240" w:lineRule="auto"/>
              <w:jc w:val="left"/>
            </w:pPr>
            <w:r>
              <w:rPr>
                <w:rFonts w:ascii="Helvetica" w:hAnsi="Helvetica" w:cs="Helvetica" w:eastAsia="Helvetica"/>
                <w:color w:val="000000"/>
                <w:sz w:val="18"/>
              </w:rPr>
              <w:t>L'adossement année par année des placements à l'épargne</w:t>
            </w:r>
          </w:p>
        </w:tc>
        <w:tc>
          <w:tcPr>
            <w:tcW w:type="dxa" w:w="3061"/>
          </w:tcPr>
          <w:p>
            <w:pPr>
              <w:spacing w:after="40" w:before="40" w:line="240" w:lineRule="auto"/>
              <w:jc w:val="left"/>
            </w:pPr>
            <w:r>
              <w:rPr>
                <w:rFonts w:ascii="Helvetica" w:hAnsi="Helvetica" w:cs="Helvetica" w:eastAsia="Helvetica"/>
                <w:color w:val="000000"/>
                <w:sz w:val="18"/>
              </w:rPr>
              <w:t>Inventaire et échéancier des placements</w:t>
            </w:r>
          </w:p>
        </w:tc>
      </w:tr>
      <w:tr>
        <w:tc>
          <w:tcPr>
            <w:tcW w:type="dxa" w:w="2835"/>
            <w:shd w:val="clear" w:color="auto" w:fill="CCCCCC"/>
          </w:tcPr>
          <w:p>
            <w:pPr>
              <w:spacing w:after="40" w:before="40" w:line="240" w:lineRule="auto"/>
              <w:jc w:val="left"/>
            </w:pPr>
            <w:r>
              <w:rPr>
                <w:rFonts w:ascii="Helvetica" w:hAnsi="Helvetica" w:cs="Helvetica" w:eastAsia="Helvetica"/>
                <w:b/>
                <w:color w:val="000000"/>
                <w:sz w:val="18"/>
              </w:rPr>
              <w:t>Déclarations non documentées</w:t>
            </w:r>
          </w:p>
        </w:tc>
        <w:tc>
          <w:tcPr>
            <w:tcW w:type="dxa" w:w="4535"/>
            <w:shd w:val="clear" w:color="auto" w:fill="E8E8E8"/>
          </w:tcPr>
          <w:p>
            <w:pPr>
              <w:spacing w:after="40" w:before="40" w:line="240" w:lineRule="auto"/>
              <w:jc w:val="left"/>
            </w:pPr>
            <w:r>
              <w:rPr>
                <w:rFonts w:ascii="Helvetica" w:hAnsi="Helvetica" w:cs="Helvetica" w:eastAsia="Helvetica"/>
                <w:color w:val="000000"/>
                <w:sz w:val="18"/>
              </w:rPr>
              <w:t>Certains faits de gouvernance, surlignés en jaune dans ce document</w:t>
            </w:r>
          </w:p>
        </w:tc>
        <w:tc>
          <w:tcPr>
            <w:tcW w:type="dxa" w:w="3061"/>
            <w:shd w:val="clear" w:color="auto" w:fill="E8E8E8"/>
          </w:tcPr>
          <w:p>
            <w:pPr>
              <w:spacing w:after="40" w:before="40" w:line="240" w:lineRule="auto"/>
              <w:jc w:val="left"/>
            </w:pPr>
            <w:r>
              <w:rPr>
                <w:rFonts w:ascii="Helvetica" w:hAnsi="Helvetica" w:cs="Helvetica" w:eastAsia="Helvetica"/>
                <w:color w:val="000000"/>
                <w:sz w:val="18"/>
              </w:rPr>
              <w:t>Délibérations et procès-verbaux</w:t>
            </w:r>
          </w:p>
        </w:tc>
      </w:tr>
    </w:tbl>
    <w:p>
      <w:pPr>
        <w:spacing w:after="200"/>
        <w:jc w:val="left"/>
      </w:pPr>
      <w:r>
        <w:rPr>
          <w:rFonts w:ascii="Helvetica" w:hAnsi="Helvetica" w:cs="Helvetica" w:eastAsia="Helvetica"/>
          <w:color w:val="000000"/>
          <w:sz w:val="16"/>
        </w:rPr>
        <w:t>Source : Rapport actuariel et statistique du 23/10/2026, diapositives 241 et 242 ; liste des documents demandés au 26/10/2026.</w:t>
      </w:r>
    </w:p>
    <w:p>
      <w:pPr>
        <w:pStyle w:val="Heading2"/>
      </w:pPr>
      <w:r>
        <w:t>5.3. LES PROCHAINES ÉTAPES</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6</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Prochaines étapes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5896"/>
        <w:gridCol w:w="2268"/>
        <w:gridCol w:w="2268"/>
      </w:tblGrid>
      <w:tr>
        <w:trPr>
          <w:tblHeader/>
        </w:trPr>
        <w:tc>
          <w:tcPr>
            <w:tcW w:type="dxa" w:w="5896"/>
            <w:shd w:val="clear" w:color="auto" w:fill="000000"/>
          </w:tcPr>
          <w:p>
            <w:pPr>
              <w:spacing w:after="40" w:before="40" w:line="240" w:lineRule="auto"/>
              <w:jc w:val="left"/>
            </w:pPr>
            <w:r>
              <w:rPr>
                <w:rFonts w:ascii="Helvetica" w:hAnsi="Helvetica" w:cs="Helvetica" w:eastAsia="Helvetica"/>
                <w:b/>
                <w:color w:val="FFFFFF"/>
                <w:sz w:val="18"/>
              </w:rPr>
              <w:t>Étape</w:t>
            </w:r>
          </w:p>
        </w:tc>
        <w:tc>
          <w:tcPr>
            <w:tcW w:type="dxa" w:w="2268"/>
            <w:shd w:val="clear" w:color="auto" w:fill="000000"/>
          </w:tcPr>
          <w:p>
            <w:pPr>
              <w:spacing w:after="40" w:before="40" w:line="240" w:lineRule="auto"/>
              <w:jc w:val="center"/>
            </w:pPr>
            <w:r>
              <w:rPr>
                <w:rFonts w:ascii="Helvetica" w:hAnsi="Helvetica" w:cs="Helvetica" w:eastAsia="Helvetica"/>
                <w:b/>
                <w:color w:val="FFFFFF"/>
                <w:sz w:val="18"/>
              </w:rPr>
              <w:t>Qui</w:t>
            </w:r>
          </w:p>
        </w:tc>
        <w:tc>
          <w:tcPr>
            <w:tcW w:type="dxa" w:w="2268"/>
            <w:shd w:val="clear" w:color="auto" w:fill="000000"/>
          </w:tcPr>
          <w:p>
            <w:pPr>
              <w:spacing w:after="40" w:before="40" w:line="240" w:lineRule="auto"/>
              <w:jc w:val="center"/>
            </w:pPr>
            <w:r>
              <w:rPr>
                <w:rFonts w:ascii="Helvetica" w:hAnsi="Helvetica" w:cs="Helvetica" w:eastAsia="Helvetica"/>
                <w:b/>
                <w:color w:val="FFFFFF"/>
                <w:sz w:val="18"/>
              </w:rPr>
              <w:t>Quand</w:t>
            </w:r>
          </w:p>
        </w:tc>
      </w:tr>
      <w:tr>
        <w:tc>
          <w:tcPr>
            <w:tcW w:type="dxa" w:w="5896"/>
            <w:shd w:val="clear" w:color="auto" w:fill="CCCCCC"/>
          </w:tcPr>
          <w:p>
            <w:pPr>
              <w:spacing w:after="40" w:before="40" w:line="240" w:lineRule="auto"/>
              <w:jc w:val="left"/>
            </w:pPr>
            <w:r>
              <w:rPr>
                <w:rFonts w:ascii="Helvetica" w:hAnsi="Helvetica" w:cs="Helvetica" w:eastAsia="Helvetica"/>
                <w:b/>
                <w:color w:val="000000"/>
                <w:sz w:val="18"/>
              </w:rPr>
              <w:t>Transmettre les données et documents encore attendus</w:t>
            </w:r>
          </w:p>
        </w:tc>
        <w:tc>
          <w:tcPr>
            <w:tcW w:type="dxa" w:w="2268"/>
          </w:tcPr>
          <w:p>
            <w:pPr>
              <w:spacing w:after="40" w:before="40" w:line="240" w:lineRule="auto"/>
              <w:jc w:val="left"/>
            </w:pPr>
            <w:r>
              <w:rPr>
                <w:rFonts w:ascii="Helvetica" w:hAnsi="Helvetica" w:cs="Helvetica" w:eastAsia="Helvetica"/>
                <w:color w:val="000000"/>
                <w:sz w:val="18"/>
              </w:rPr>
              <w:t>FPPN</w:t>
            </w:r>
          </w:p>
        </w:tc>
        <w:tc>
          <w:tcPr>
            <w:tcW w:type="dxa" w:w="2268"/>
          </w:tcPr>
          <w:p>
            <w:pPr>
              <w:spacing w:after="40" w:before="40" w:line="240" w:lineRule="auto"/>
              <w:jc w:val="left"/>
            </w:pPr>
            <w:r>
              <w:rPr>
                <w:rFonts w:ascii="Helvetica" w:hAnsi="Helvetica" w:cs="Helvetica" w:eastAsia="Helvetica"/>
                <w:color w:val="000000"/>
                <w:sz w:val="18"/>
              </w:rPr>
              <w:t>Dès que possible</w:t>
            </w:r>
          </w:p>
        </w:tc>
      </w:tr>
      <w:tr>
        <w:tc>
          <w:tcPr>
            <w:tcW w:type="dxa" w:w="5896"/>
            <w:shd w:val="clear" w:color="auto" w:fill="CCCCCC"/>
          </w:tcPr>
          <w:p>
            <w:pPr>
              <w:spacing w:after="40" w:before="40" w:line="240" w:lineRule="auto"/>
              <w:jc w:val="left"/>
            </w:pPr>
            <w:r>
              <w:rPr>
                <w:rFonts w:ascii="Helvetica" w:hAnsi="Helvetica" w:cs="Helvetica" w:eastAsia="Helvetica"/>
                <w:b/>
                <w:color w:val="000000"/>
                <w:sz w:val="18"/>
              </w:rPr>
              <w:t>Calculer les provisions dossier par dossier et l'épargne par policier, puis projeter l'équilibre des garanties</w:t>
            </w:r>
          </w:p>
        </w:tc>
        <w:tc>
          <w:tcPr>
            <w:tcW w:type="dxa" w:w="2268"/>
            <w:shd w:val="clear" w:color="auto" w:fill="E8E8E8"/>
          </w:tcPr>
          <w:p>
            <w:pPr>
              <w:spacing w:after="40" w:before="40" w:line="240" w:lineRule="auto"/>
              <w:jc w:val="left"/>
            </w:pPr>
            <w:r>
              <w:rPr>
                <w:rFonts w:ascii="Helvetica" w:hAnsi="Helvetica" w:cs="Helvetica" w:eastAsia="Helvetica"/>
                <w:color w:val="000000"/>
                <w:sz w:val="18"/>
              </w:rPr>
              <w:t>Adenka</w:t>
            </w:r>
          </w:p>
        </w:tc>
        <w:tc>
          <w:tcPr>
            <w:tcW w:type="dxa" w:w="2268"/>
            <w:shd w:val="clear" w:color="auto" w:fill="E8E8E8"/>
          </w:tcPr>
          <w:p>
            <w:pPr>
              <w:spacing w:after="40" w:before="40" w:line="240" w:lineRule="auto"/>
              <w:jc w:val="left"/>
            </w:pPr>
            <w:r>
              <w:rPr>
                <w:rFonts w:ascii="Helvetica" w:hAnsi="Helvetica" w:cs="Helvetica" w:eastAsia="Helvetica"/>
                <w:color w:val="000000"/>
                <w:sz w:val="18"/>
              </w:rPr>
              <w:t>À réception des données</w:t>
            </w:r>
          </w:p>
        </w:tc>
      </w:tr>
      <w:tr>
        <w:tc>
          <w:tcPr>
            <w:tcW w:type="dxa" w:w="5896"/>
            <w:shd w:val="clear" w:color="auto" w:fill="CCCCCC"/>
          </w:tcPr>
          <w:p>
            <w:pPr>
              <w:spacing w:after="40" w:before="40" w:line="240" w:lineRule="auto"/>
              <w:jc w:val="left"/>
            </w:pPr>
            <w:r>
              <w:rPr>
                <w:rFonts w:ascii="Helvetica" w:hAnsi="Helvetica" w:cs="Helvetica" w:eastAsia="Helvetica"/>
                <w:b/>
                <w:color w:val="000000"/>
                <w:sz w:val="18"/>
              </w:rPr>
              <w:t>Restitution du rapport provisoire</w:t>
            </w:r>
          </w:p>
        </w:tc>
        <w:tc>
          <w:tcPr>
            <w:tcW w:type="dxa" w:w="2268"/>
          </w:tcPr>
          <w:p>
            <w:pPr>
              <w:spacing w:after="40" w:before="40" w:line="240" w:lineRule="auto"/>
              <w:jc w:val="left"/>
            </w:pPr>
            <w:r>
              <w:rPr>
                <w:rFonts w:ascii="Helvetica" w:hAnsi="Helvetica" w:cs="Helvetica" w:eastAsia="Helvetica"/>
                <w:color w:val="000000"/>
                <w:sz w:val="18"/>
              </w:rPr>
              <w:t>Adenka et FPPN</w:t>
            </w:r>
          </w:p>
        </w:tc>
        <w:tc>
          <w:tcPr>
            <w:tcW w:type="dxa" w:w="2268"/>
          </w:tcPr>
          <w:p>
            <w:pPr>
              <w:spacing w:after="40" w:before="40" w:line="240" w:lineRule="auto"/>
              <w:jc w:val="left"/>
            </w:pPr>
            <w:r>
              <w:rPr>
                <w:rFonts w:ascii="Helvetica" w:hAnsi="Helvetica" w:cs="Helvetica" w:eastAsia="Helvetica"/>
                <w:color w:val="000000"/>
                <w:sz w:val="18"/>
              </w:rPr>
              <w:t>23 et 24/11/2026</w:t>
            </w:r>
          </w:p>
        </w:tc>
      </w:tr>
      <w:tr>
        <w:tc>
          <w:tcPr>
            <w:tcW w:type="dxa" w:w="5896"/>
            <w:shd w:val="clear" w:color="auto" w:fill="CCCCCC"/>
          </w:tcPr>
          <w:p>
            <w:pPr>
              <w:spacing w:after="40" w:before="40" w:line="240" w:lineRule="auto"/>
              <w:jc w:val="left"/>
            </w:pPr>
            <w:r>
              <w:rPr>
                <w:rFonts w:ascii="Helvetica" w:hAnsi="Helvetica" w:cs="Helvetica" w:eastAsia="Helvetica"/>
                <w:b/>
                <w:color w:val="000000"/>
                <w:sz w:val="18"/>
              </w:rPr>
              <w:t>Intégration des commentaires du FPPN</w:t>
            </w:r>
          </w:p>
        </w:tc>
        <w:tc>
          <w:tcPr>
            <w:tcW w:type="dxa" w:w="2268"/>
            <w:shd w:val="clear" w:color="auto" w:fill="E8E8E8"/>
          </w:tcPr>
          <w:p>
            <w:pPr>
              <w:spacing w:after="40" w:before="40" w:line="240" w:lineRule="auto"/>
              <w:jc w:val="left"/>
            </w:pPr>
            <w:r>
              <w:rPr>
                <w:rFonts w:ascii="Helvetica" w:hAnsi="Helvetica" w:cs="Helvetica" w:eastAsia="Helvetica"/>
                <w:color w:val="000000"/>
                <w:sz w:val="18"/>
              </w:rPr>
              <w:t>Adenka</w:t>
            </w:r>
          </w:p>
        </w:tc>
        <w:tc>
          <w:tcPr>
            <w:tcW w:type="dxa" w:w="2268"/>
            <w:shd w:val="clear" w:color="auto" w:fill="E8E8E8"/>
          </w:tcPr>
          <w:p>
            <w:pPr>
              <w:spacing w:after="40" w:before="40" w:line="240" w:lineRule="auto"/>
              <w:jc w:val="left"/>
            </w:pPr>
            <w:r>
              <w:rPr>
                <w:rFonts w:ascii="Helvetica" w:hAnsi="Helvetica" w:cs="Helvetica" w:eastAsia="Helvetica"/>
                <w:color w:val="000000"/>
                <w:sz w:val="18"/>
              </w:rPr>
              <w:t>Du 25 au 27/11/2026</w:t>
            </w:r>
          </w:p>
        </w:tc>
      </w:tr>
      <w:tr>
        <w:tc>
          <w:tcPr>
            <w:tcW w:type="dxa" w:w="5896"/>
            <w:shd w:val="clear" w:color="auto" w:fill="CCCCCC"/>
          </w:tcPr>
          <w:p>
            <w:pPr>
              <w:spacing w:after="40" w:before="40" w:line="240" w:lineRule="auto"/>
              <w:jc w:val="left"/>
            </w:pPr>
            <w:r>
              <w:rPr>
                <w:rFonts w:ascii="Helvetica" w:hAnsi="Helvetica" w:cs="Helvetica" w:eastAsia="Helvetica"/>
                <w:b/>
                <w:color w:val="000000"/>
                <w:sz w:val="18"/>
              </w:rPr>
              <w:t>Remise du rapport définitif</w:t>
            </w:r>
          </w:p>
        </w:tc>
        <w:tc>
          <w:tcPr>
            <w:tcW w:type="dxa" w:w="2268"/>
          </w:tcPr>
          <w:p>
            <w:pPr>
              <w:spacing w:after="40" w:before="40" w:line="240" w:lineRule="auto"/>
              <w:jc w:val="left"/>
            </w:pPr>
            <w:r>
              <w:rPr>
                <w:rFonts w:ascii="Helvetica" w:hAnsi="Helvetica" w:cs="Helvetica" w:eastAsia="Helvetica"/>
                <w:color w:val="000000"/>
                <w:sz w:val="18"/>
              </w:rPr>
              <w:t>Adenka</w:t>
            </w:r>
          </w:p>
        </w:tc>
        <w:tc>
          <w:tcPr>
            <w:tcW w:type="dxa" w:w="2268"/>
          </w:tcPr>
          <w:p>
            <w:pPr>
              <w:spacing w:after="40" w:before="40" w:line="240" w:lineRule="auto"/>
              <w:jc w:val="left"/>
            </w:pPr>
            <w:r>
              <w:rPr>
                <w:rFonts w:ascii="Helvetica" w:hAnsi="Helvetica" w:cs="Helvetica" w:eastAsia="Helvetica"/>
                <w:color w:val="000000"/>
                <w:sz w:val="18"/>
              </w:rPr>
              <w:t>30/11/2026</w:t>
            </w:r>
          </w:p>
        </w:tc>
      </w:tr>
    </w:tbl>
    <w:p>
      <w:pPr>
        <w:spacing w:after="200"/>
        <w:jc w:val="left"/>
      </w:pPr>
      <w:r>
        <w:rPr>
          <w:rFonts w:ascii="Helvetica" w:hAnsi="Helvetica" w:cs="Helvetica" w:eastAsia="Helvetica"/>
          <w:color w:val="000000"/>
          <w:sz w:val="16"/>
        </w:rPr>
        <w:t>Source : Adenka.</w:t>
      </w:r>
    </w:p>
    <w:p>
      <w:r>
        <w:br w:type="page"/>
      </w:r>
    </w:p>
    <w:p>
      <w:pPr>
        <w:pStyle w:val="Heading1"/>
      </w:pPr>
      <w:r>
        <w:t>ANNEXES</w:t>
      </w:r>
    </w:p>
    <w:p>
      <w:pPr>
        <w:pStyle w:val="Heading2"/>
      </w:pPr>
      <w:r>
        <w:t>Annexe 1 : Lexique</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7</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Les mots techniques utilisés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2268"/>
        <w:gridCol w:w="8164"/>
      </w:tblGrid>
      <w:tr>
        <w:trPr>
          <w:tblHeader/>
        </w:trPr>
        <w:tc>
          <w:tcPr>
            <w:tcW w:type="dxa" w:w="2268"/>
            <w:shd w:val="clear" w:color="auto" w:fill="000000"/>
          </w:tcPr>
          <w:p>
            <w:pPr>
              <w:spacing w:after="40" w:before="40" w:line="240" w:lineRule="auto"/>
              <w:jc w:val="left"/>
            </w:pPr>
            <w:r>
              <w:rPr>
                <w:rFonts w:ascii="Helvetica" w:hAnsi="Helvetica" w:cs="Helvetica" w:eastAsia="Helvetica"/>
                <w:b/>
                <w:color w:val="FFFFFF"/>
                <w:sz w:val="18"/>
              </w:rPr>
              <w:t>Mot</w:t>
            </w:r>
          </w:p>
        </w:tc>
        <w:tc>
          <w:tcPr>
            <w:tcW w:type="dxa" w:w="8164"/>
            <w:shd w:val="clear" w:color="auto" w:fill="000000"/>
          </w:tcPr>
          <w:p>
            <w:pPr>
              <w:spacing w:after="40" w:before="40" w:line="240" w:lineRule="auto"/>
              <w:jc w:val="center"/>
            </w:pPr>
            <w:r>
              <w:rPr>
                <w:rFonts w:ascii="Helvetica" w:hAnsi="Helvetica" w:cs="Helvetica" w:eastAsia="Helvetica"/>
                <w:b/>
                <w:color w:val="FFFFFF"/>
                <w:sz w:val="18"/>
              </w:rPr>
              <w:t>Ce qu'il veut dire</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Actuariat</w:t>
            </w:r>
          </w:p>
        </w:tc>
        <w:tc>
          <w:tcPr>
            <w:tcW w:type="dxa" w:w="8164"/>
          </w:tcPr>
          <w:p>
            <w:pPr>
              <w:spacing w:after="40" w:before="40" w:line="240" w:lineRule="auto"/>
              <w:jc w:val="left"/>
            </w:pPr>
            <w:r>
              <w:rPr>
                <w:rFonts w:ascii="Helvetica" w:hAnsi="Helvetica" w:cs="Helvetica" w:eastAsia="Helvetica"/>
                <w:color w:val="000000"/>
                <w:sz w:val="18"/>
              </w:rPr>
              <w:t>Métier qui mesure aujourd'hui des sommes qui seront payées plus tard.</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Adossement</w:t>
            </w:r>
          </w:p>
        </w:tc>
        <w:tc>
          <w:tcPr>
            <w:tcW w:type="dxa" w:w="8164"/>
            <w:shd w:val="clear" w:color="auto" w:fill="E8E8E8"/>
          </w:tcPr>
          <w:p>
            <w:pPr>
              <w:spacing w:after="40" w:before="40" w:line="240" w:lineRule="auto"/>
              <w:jc w:val="left"/>
            </w:pPr>
            <w:r>
              <w:rPr>
                <w:rFonts w:ascii="Helvetica" w:hAnsi="Helvetica" w:cs="Helvetica" w:eastAsia="Helvetica"/>
                <w:color w:val="000000"/>
                <w:sz w:val="18"/>
              </w:rPr>
              <w:t>Le fait d'avoir l'argent disponible au moment où il faut payer.</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Agrément</w:t>
            </w:r>
          </w:p>
        </w:tc>
        <w:tc>
          <w:tcPr>
            <w:tcW w:type="dxa" w:w="8164"/>
          </w:tcPr>
          <w:p>
            <w:pPr>
              <w:spacing w:after="40" w:before="40" w:line="240" w:lineRule="auto"/>
              <w:jc w:val="left"/>
            </w:pPr>
            <w:r>
              <w:rPr>
                <w:rFonts w:ascii="Helvetica" w:hAnsi="Helvetica" w:cs="Helvetica" w:eastAsia="Helvetica"/>
                <w:color w:val="000000"/>
                <w:sz w:val="18"/>
              </w:rPr>
              <w:t>Autorisation de l'AIRMS sans laquelle le FPPN ne peut pas exercer.</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Ayant droit</w:t>
            </w:r>
          </w:p>
        </w:tc>
        <w:tc>
          <w:tcPr>
            <w:tcW w:type="dxa" w:w="8164"/>
            <w:shd w:val="clear" w:color="auto" w:fill="E8E8E8"/>
          </w:tcPr>
          <w:p>
            <w:pPr>
              <w:spacing w:after="40" w:before="40" w:line="240" w:lineRule="auto"/>
              <w:jc w:val="left"/>
            </w:pPr>
            <w:r>
              <w:rPr>
                <w:rFonts w:ascii="Helvetica" w:hAnsi="Helvetica" w:cs="Helvetica" w:eastAsia="Helvetica"/>
                <w:color w:val="000000"/>
                <w:sz w:val="18"/>
              </w:rPr>
              <w:t>Conjoint ou enfant d'un policier, couvert par les garanties du FPPN.</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Bilan</w:t>
            </w:r>
          </w:p>
        </w:tc>
        <w:tc>
          <w:tcPr>
            <w:tcW w:type="dxa" w:w="8164"/>
          </w:tcPr>
          <w:p>
            <w:pPr>
              <w:spacing w:after="40" w:before="40" w:line="240" w:lineRule="auto"/>
              <w:jc w:val="left"/>
            </w:pPr>
            <w:r>
              <w:rPr>
                <w:rFonts w:ascii="Helvetica" w:hAnsi="Helvetica" w:cs="Helvetica" w:eastAsia="Helvetica"/>
                <w:color w:val="000000"/>
                <w:sz w:val="18"/>
              </w:rPr>
              <w:t>Photographie, à une date, de ce que le FPPN possède et de ce qu'il doit.</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Cotisation</w:t>
            </w:r>
          </w:p>
        </w:tc>
        <w:tc>
          <w:tcPr>
            <w:tcW w:type="dxa" w:w="8164"/>
            <w:shd w:val="clear" w:color="auto" w:fill="E8E8E8"/>
          </w:tcPr>
          <w:p>
            <w:pPr>
              <w:spacing w:after="40" w:before="40" w:line="240" w:lineRule="auto"/>
              <w:jc w:val="left"/>
            </w:pPr>
            <w:r>
              <w:rPr>
                <w:rFonts w:ascii="Helvetica" w:hAnsi="Helvetica" w:cs="Helvetica" w:eastAsia="Helvetica"/>
                <w:color w:val="000000"/>
                <w:sz w:val="18"/>
              </w:rPr>
              <w:t>Somme prélevée chaque mois sur la solde ou la pension.</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Dépréciation</w:t>
            </w:r>
          </w:p>
        </w:tc>
        <w:tc>
          <w:tcPr>
            <w:tcW w:type="dxa" w:w="8164"/>
          </w:tcPr>
          <w:p>
            <w:pPr>
              <w:spacing w:after="40" w:before="40" w:line="240" w:lineRule="auto"/>
              <w:jc w:val="left"/>
            </w:pPr>
            <w:r>
              <w:rPr>
                <w:rFonts w:ascii="Helvetica" w:hAnsi="Helvetica" w:cs="Helvetica" w:eastAsia="Helvetica"/>
                <w:color w:val="000000"/>
                <w:sz w:val="18"/>
              </w:rPr>
              <w:t>Perte probable comptée sur un prêt qui risque de ne pas être remboursé.</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Engagement</w:t>
            </w:r>
          </w:p>
        </w:tc>
        <w:tc>
          <w:tcPr>
            <w:tcW w:type="dxa" w:w="8164"/>
            <w:shd w:val="clear" w:color="auto" w:fill="E8E8E8"/>
          </w:tcPr>
          <w:p>
            <w:pPr>
              <w:spacing w:after="40" w:before="40" w:line="240" w:lineRule="auto"/>
              <w:jc w:val="left"/>
            </w:pPr>
            <w:r>
              <w:rPr>
                <w:rFonts w:ascii="Helvetica" w:hAnsi="Helvetica" w:cs="Helvetica" w:eastAsia="Helvetica"/>
                <w:color w:val="000000"/>
                <w:sz w:val="18"/>
              </w:rPr>
              <w:t>Somme que le FPPN devra payer à ses adhérents, maintenant ou plus tard.</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Fonds propres</w:t>
            </w:r>
          </w:p>
        </w:tc>
        <w:tc>
          <w:tcPr>
            <w:tcW w:type="dxa" w:w="8164"/>
          </w:tcPr>
          <w:p>
            <w:pPr>
              <w:spacing w:after="40" w:before="40" w:line="240" w:lineRule="auto"/>
              <w:jc w:val="left"/>
            </w:pPr>
            <w:r>
              <w:rPr>
                <w:rFonts w:ascii="Helvetica" w:hAnsi="Helvetica" w:cs="Helvetica" w:eastAsia="Helvetica"/>
                <w:color w:val="000000"/>
                <w:sz w:val="18"/>
              </w:rPr>
              <w:t>Réserves du FPPN moins ses pertes passées : le coussin pour les coups durs.</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Liquidité</w:t>
            </w:r>
          </w:p>
        </w:tc>
        <w:tc>
          <w:tcPr>
            <w:tcW w:type="dxa" w:w="8164"/>
            <w:shd w:val="clear" w:color="auto" w:fill="E8E8E8"/>
          </w:tcPr>
          <w:p>
            <w:pPr>
              <w:spacing w:after="40" w:before="40" w:line="240" w:lineRule="auto"/>
              <w:jc w:val="left"/>
            </w:pPr>
            <w:r>
              <w:rPr>
                <w:rFonts w:ascii="Helvetica" w:hAnsi="Helvetica" w:cs="Helvetica" w:eastAsia="Helvetica"/>
                <w:color w:val="000000"/>
                <w:sz w:val="18"/>
              </w:rPr>
              <w:t>Capacité à payer à la date prévue avec l'argent disponible.</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Placement</w:t>
            </w:r>
          </w:p>
        </w:tc>
        <w:tc>
          <w:tcPr>
            <w:tcW w:type="dxa" w:w="8164"/>
          </w:tcPr>
          <w:p>
            <w:pPr>
              <w:spacing w:after="40" w:before="40" w:line="240" w:lineRule="auto"/>
              <w:jc w:val="left"/>
            </w:pPr>
            <w:r>
              <w:rPr>
                <w:rFonts w:ascii="Helvetica" w:hAnsi="Helvetica" w:cs="Helvetica" w:eastAsia="Helvetica"/>
                <w:color w:val="000000"/>
                <w:sz w:val="18"/>
              </w:rPr>
              <w:t>Argent confié à une banque ou à un fonds pour qu'il rapporte des intérêts.</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Précompte</w:t>
            </w:r>
          </w:p>
        </w:tc>
        <w:tc>
          <w:tcPr>
            <w:tcW w:type="dxa" w:w="8164"/>
            <w:shd w:val="clear" w:color="auto" w:fill="E8E8E8"/>
          </w:tcPr>
          <w:p>
            <w:pPr>
              <w:spacing w:after="40" w:before="40" w:line="240" w:lineRule="auto"/>
              <w:jc w:val="left"/>
            </w:pPr>
            <w:r>
              <w:rPr>
                <w:rFonts w:ascii="Helvetica" w:hAnsi="Helvetica" w:cs="Helvetica" w:eastAsia="Helvetica"/>
                <w:color w:val="000000"/>
                <w:sz w:val="18"/>
              </w:rPr>
              <w:t>Prélèvement de la cotisation directement sur la solde (par la Solde) ou sur la pension (par la CGRAE).</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Provision</w:t>
            </w:r>
          </w:p>
        </w:tc>
        <w:tc>
          <w:tcPr>
            <w:tcW w:type="dxa" w:w="8164"/>
          </w:tcPr>
          <w:p>
            <w:pPr>
              <w:spacing w:after="40" w:before="40" w:line="240" w:lineRule="auto"/>
              <w:jc w:val="left"/>
            </w:pPr>
            <w:r>
              <w:rPr>
                <w:rFonts w:ascii="Helvetica" w:hAnsi="Helvetica" w:cs="Helvetica" w:eastAsia="Helvetica"/>
                <w:color w:val="000000"/>
                <w:sz w:val="18"/>
              </w:rPr>
              <w:t>Argent mis de côté à la clôture pour payer des soins ou des décès déjà survenus mais pas encore payés.</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Sinistralité</w:t>
            </w:r>
          </w:p>
        </w:tc>
        <w:tc>
          <w:tcPr>
            <w:tcW w:type="dxa" w:w="8164"/>
            <w:shd w:val="clear" w:color="auto" w:fill="E8E8E8"/>
          </w:tcPr>
          <w:p>
            <w:pPr>
              <w:spacing w:after="40" w:before="40" w:line="240" w:lineRule="auto"/>
              <w:jc w:val="left"/>
            </w:pPr>
            <w:r>
              <w:rPr>
                <w:rFonts w:ascii="Helvetica" w:hAnsi="Helvetica" w:cs="Helvetica" w:eastAsia="Helvetica"/>
                <w:color w:val="000000"/>
                <w:sz w:val="18"/>
              </w:rPr>
              <w:t>Part des cotisations consommée par les prestations (soins, allocations).</w:t>
            </w:r>
          </w:p>
        </w:tc>
      </w:tr>
      <w:tr>
        <w:tc>
          <w:tcPr>
            <w:tcW w:type="dxa" w:w="2268"/>
            <w:shd w:val="clear" w:color="auto" w:fill="CCCCCC"/>
          </w:tcPr>
          <w:p>
            <w:pPr>
              <w:spacing w:after="40" w:before="40" w:line="240" w:lineRule="auto"/>
              <w:jc w:val="left"/>
            </w:pPr>
            <w:r>
              <w:rPr>
                <w:rFonts w:ascii="Helvetica" w:hAnsi="Helvetica" w:cs="Helvetica" w:eastAsia="Helvetica"/>
                <w:b/>
                <w:color w:val="000000"/>
                <w:sz w:val="18"/>
              </w:rPr>
              <w:t>Taux servi</w:t>
            </w:r>
          </w:p>
        </w:tc>
        <w:tc>
          <w:tcPr>
            <w:tcW w:type="dxa" w:w="8164"/>
          </w:tcPr>
          <w:p>
            <w:pPr>
              <w:spacing w:after="40" w:before="40" w:line="240" w:lineRule="auto"/>
              <w:jc w:val="left"/>
            </w:pPr>
            <w:r>
              <w:rPr>
                <w:rFonts w:ascii="Helvetica" w:hAnsi="Helvetica" w:cs="Helvetica" w:eastAsia="Helvetica"/>
                <w:color w:val="000000"/>
                <w:sz w:val="18"/>
              </w:rPr>
              <w:t>Taux d'intérêt promis aux épargnants.</w:t>
            </w:r>
          </w:p>
        </w:tc>
      </w:tr>
    </w:tbl>
    <w:p>
      <w:pPr>
        <w:spacing w:after="200"/>
        <w:jc w:val="left"/>
      </w:pPr>
      <w:r>
        <w:rPr>
          <w:rFonts w:ascii="Helvetica" w:hAnsi="Helvetica" w:cs="Helvetica" w:eastAsia="Helvetica"/>
          <w:color w:val="000000"/>
          <w:sz w:val="16"/>
        </w:rPr>
        <w:t>Source : Adenka.</w:t>
      </w:r>
    </w:p>
    <w:p>
      <w:r>
        <w:br w:type="page"/>
      </w:r>
    </w:p>
    <w:p>
      <w:pPr>
        <w:pStyle w:val="Heading2"/>
      </w:pPr>
      <w:r>
        <w:t>Annexe 2 : Règles de classement</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8</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Règles de classement des actions et des risques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2154"/>
        <w:gridCol w:w="1361"/>
        <w:gridCol w:w="6917"/>
      </w:tblGrid>
      <w:tr>
        <w:trPr>
          <w:tblHeader/>
        </w:trPr>
        <w:tc>
          <w:tcPr>
            <w:tcW w:type="dxa" w:w="2154"/>
            <w:shd w:val="clear" w:color="auto" w:fill="000000"/>
          </w:tcPr>
          <w:p>
            <w:pPr>
              <w:spacing w:after="40" w:before="40" w:line="240" w:lineRule="auto"/>
              <w:jc w:val="left"/>
            </w:pPr>
            <w:r>
              <w:rPr>
                <w:rFonts w:ascii="Helvetica" w:hAnsi="Helvetica" w:cs="Helvetica" w:eastAsia="Helvetica"/>
                <w:b/>
                <w:color w:val="FFFFFF"/>
                <w:sz w:val="18"/>
              </w:rPr>
              <w:t>Classement</w:t>
            </w:r>
          </w:p>
        </w:tc>
        <w:tc>
          <w:tcPr>
            <w:tcW w:type="dxa" w:w="1361"/>
            <w:shd w:val="clear" w:color="auto" w:fill="000000"/>
          </w:tcPr>
          <w:p>
            <w:pPr>
              <w:spacing w:after="40" w:before="40" w:line="240" w:lineRule="auto"/>
              <w:jc w:val="center"/>
            </w:pPr>
            <w:r>
              <w:rPr>
                <w:rFonts w:ascii="Helvetica" w:hAnsi="Helvetica" w:cs="Helvetica" w:eastAsia="Helvetica"/>
                <w:b/>
                <w:color w:val="FFFFFF"/>
                <w:sz w:val="18"/>
              </w:rPr>
              <w:t>Niveau</w:t>
            </w:r>
          </w:p>
        </w:tc>
        <w:tc>
          <w:tcPr>
            <w:tcW w:type="dxa" w:w="6917"/>
            <w:shd w:val="clear" w:color="auto" w:fill="000000"/>
          </w:tcPr>
          <w:p>
            <w:pPr>
              <w:spacing w:after="40" w:before="40" w:line="240" w:lineRule="auto"/>
              <w:jc w:val="center"/>
            </w:pPr>
            <w:r>
              <w:rPr>
                <w:rFonts w:ascii="Helvetica" w:hAnsi="Helvetica" w:cs="Helvetica" w:eastAsia="Helvetica"/>
                <w:b/>
                <w:color w:val="FFFFFF"/>
                <w:sz w:val="18"/>
              </w:rPr>
              <w:t>Signification</w:t>
            </w:r>
          </w:p>
        </w:tc>
      </w:tr>
      <w:tr>
        <w:tc>
          <w:tcPr>
            <w:tcW w:type="dxa" w:w="2154"/>
            <w:shd w:val="clear" w:color="auto" w:fill="CCCCCC"/>
          </w:tcPr>
          <w:p>
            <w:pPr>
              <w:spacing w:after="40" w:before="40" w:line="240" w:lineRule="auto"/>
              <w:jc w:val="left"/>
            </w:pPr>
            <w:r>
              <w:rPr>
                <w:rFonts w:ascii="Helvetica" w:hAnsi="Helvetica" w:cs="Helvetica" w:eastAsia="Helvetica"/>
                <w:b/>
                <w:color w:val="000000"/>
                <w:sz w:val="18"/>
              </w:rPr>
              <w:t>Complexité</w:t>
            </w:r>
          </w:p>
        </w:tc>
        <w:tc>
          <w:tcPr>
            <w:tcW w:type="dxa" w:w="1361"/>
          </w:tcPr>
          <w:p>
            <w:pPr>
              <w:spacing w:after="40" w:before="40" w:line="240" w:lineRule="auto"/>
              <w:jc w:val="left"/>
            </w:pPr>
            <w:r>
              <w:rPr>
                <w:rFonts w:ascii="Helvetica" w:hAnsi="Helvetica" w:cs="Helvetica" w:eastAsia="Helvetica"/>
                <w:color w:val="000000"/>
                <w:sz w:val="18"/>
              </w:rPr>
              <w:t>Faible</w:t>
            </w:r>
          </w:p>
        </w:tc>
        <w:tc>
          <w:tcPr>
            <w:tcW w:type="dxa" w:w="6917"/>
          </w:tcPr>
          <w:p>
            <w:pPr>
              <w:spacing w:after="40" w:before="40" w:line="240" w:lineRule="auto"/>
              <w:jc w:val="left"/>
            </w:pPr>
            <w:r>
              <w:rPr>
                <w:rFonts w:ascii="Helvetica" w:hAnsi="Helvetica" w:cs="Helvetica" w:eastAsia="Helvetica"/>
                <w:color w:val="000000"/>
                <w:sz w:val="18"/>
              </w:rPr>
              <w:t>Une décision des organes ou un document suffit.</w:t>
            </w:r>
          </w:p>
        </w:tc>
      </w:tr>
      <w:tr>
        <w:tc>
          <w:tcPr>
            <w:tcW w:type="dxa" w:w="2154"/>
            <w:shd w:val="clear" w:color="auto" w:fill="CCCCCC"/>
          </w:tcPr>
          <w:p>
            <w:pPr>
              <w:spacing w:after="40" w:before="40" w:line="240" w:lineRule="auto"/>
              <w:jc w:val="left"/>
            </w:pPr>
            <w:r>
              <w:rPr>
                <w:rFonts w:ascii="Helvetica" w:hAnsi="Helvetica" w:cs="Helvetica" w:eastAsia="Helvetica"/>
                <w:b/>
                <w:color w:val="000000"/>
                <w:sz w:val="18"/>
              </w:rPr>
              <w:t>Complexité</w:t>
            </w:r>
          </w:p>
        </w:tc>
        <w:tc>
          <w:tcPr>
            <w:tcW w:type="dxa" w:w="1361"/>
            <w:shd w:val="clear" w:color="auto" w:fill="E8E8E8"/>
          </w:tcPr>
          <w:p>
            <w:pPr>
              <w:spacing w:after="40" w:before="40" w:line="240" w:lineRule="auto"/>
              <w:jc w:val="left"/>
            </w:pPr>
            <w:r>
              <w:rPr>
                <w:rFonts w:ascii="Helvetica" w:hAnsi="Helvetica" w:cs="Helvetica" w:eastAsia="Helvetica"/>
                <w:color w:val="000000"/>
                <w:sz w:val="18"/>
              </w:rPr>
              <w:t>Moyenne</w:t>
            </w:r>
          </w:p>
        </w:tc>
        <w:tc>
          <w:tcPr>
            <w:tcW w:type="dxa" w:w="6917"/>
            <w:shd w:val="clear" w:color="auto" w:fill="E8E8E8"/>
          </w:tcPr>
          <w:p>
            <w:pPr>
              <w:spacing w:after="40" w:before="40" w:line="240" w:lineRule="auto"/>
              <w:jc w:val="left"/>
            </w:pPr>
            <w:r>
              <w:rPr>
                <w:rFonts w:ascii="Helvetica" w:hAnsi="Helvetica" w:cs="Helvetica" w:eastAsia="Helvetica"/>
                <w:color w:val="000000"/>
                <w:sz w:val="18"/>
              </w:rPr>
              <w:t>Un travail interne de quelques mois est nécessaire.</w:t>
            </w:r>
          </w:p>
        </w:tc>
      </w:tr>
      <w:tr>
        <w:tc>
          <w:tcPr>
            <w:tcW w:type="dxa" w:w="2154"/>
            <w:shd w:val="clear" w:color="auto" w:fill="CCCCCC"/>
          </w:tcPr>
          <w:p>
            <w:pPr>
              <w:spacing w:after="40" w:before="40" w:line="240" w:lineRule="auto"/>
              <w:jc w:val="left"/>
            </w:pPr>
            <w:r>
              <w:rPr>
                <w:rFonts w:ascii="Helvetica" w:hAnsi="Helvetica" w:cs="Helvetica" w:eastAsia="Helvetica"/>
                <w:b/>
                <w:color w:val="000000"/>
                <w:sz w:val="18"/>
              </w:rPr>
              <w:t>Complexité</w:t>
            </w:r>
          </w:p>
        </w:tc>
        <w:tc>
          <w:tcPr>
            <w:tcW w:type="dxa" w:w="1361"/>
          </w:tcPr>
          <w:p>
            <w:pPr>
              <w:spacing w:after="40" w:before="40" w:line="240" w:lineRule="auto"/>
              <w:jc w:val="left"/>
            </w:pPr>
            <w:r>
              <w:rPr>
                <w:rFonts w:ascii="Helvetica" w:hAnsi="Helvetica" w:cs="Helvetica" w:eastAsia="Helvetica"/>
                <w:color w:val="000000"/>
                <w:sz w:val="18"/>
              </w:rPr>
              <w:t>Élevée</w:t>
            </w:r>
          </w:p>
        </w:tc>
        <w:tc>
          <w:tcPr>
            <w:tcW w:type="dxa" w:w="6917"/>
          </w:tcPr>
          <w:p>
            <w:pPr>
              <w:spacing w:after="40" w:before="40" w:line="240" w:lineRule="auto"/>
              <w:jc w:val="left"/>
            </w:pPr>
            <w:r>
              <w:rPr>
                <w:rFonts w:ascii="Helvetica" w:hAnsi="Helvetica" w:cs="Helvetica" w:eastAsia="Helvetica"/>
                <w:color w:val="000000"/>
                <w:sz w:val="18"/>
              </w:rPr>
              <w:t>L'action dépend d'un tiers (État, AIRMS, expert, actuaire) ou d'un financement.</w:t>
            </w:r>
          </w:p>
        </w:tc>
      </w:tr>
      <w:tr>
        <w:tc>
          <w:tcPr>
            <w:tcW w:type="dxa" w:w="2154"/>
            <w:shd w:val="clear" w:color="auto" w:fill="CCCCCC"/>
          </w:tcPr>
          <w:p>
            <w:pPr>
              <w:spacing w:after="40" w:before="40" w:line="240" w:lineRule="auto"/>
              <w:jc w:val="left"/>
            </w:pPr>
            <w:r>
              <w:rPr>
                <w:rFonts w:ascii="Helvetica" w:hAnsi="Helvetica" w:cs="Helvetica" w:eastAsia="Helvetica"/>
                <w:b/>
                <w:color w:val="000000"/>
                <w:sz w:val="18"/>
              </w:rPr>
              <w:t>Priorité</w:t>
            </w:r>
          </w:p>
        </w:tc>
        <w:tc>
          <w:tcPr>
            <w:tcW w:type="dxa" w:w="1361"/>
            <w:shd w:val="clear" w:color="auto" w:fill="E8E8E8"/>
          </w:tcPr>
          <w:p>
            <w:pPr>
              <w:spacing w:after="40" w:before="40" w:line="240" w:lineRule="auto"/>
              <w:jc w:val="left"/>
            </w:pPr>
            <w:r>
              <w:rPr>
                <w:rFonts w:ascii="Helvetica" w:hAnsi="Helvetica" w:cs="Helvetica" w:eastAsia="Helvetica"/>
                <w:color w:val="C00000"/>
                <w:sz w:val="18"/>
              </w:rPr>
              <w:t xml:space="preserve">●</w:t>
            </w:r>
            <w:r>
              <w:rPr>
                <w:rFonts w:ascii="Helvetica" w:hAnsi="Helvetica" w:cs="Helvetica" w:eastAsia="Helvetica"/>
                <w:color w:val="000000"/>
                <w:sz w:val="18"/>
              </w:rPr>
              <w:t xml:space="preserve"> P1</w:t>
            </w:r>
          </w:p>
        </w:tc>
        <w:tc>
          <w:tcPr>
            <w:tcW w:type="dxa" w:w="6917"/>
            <w:shd w:val="clear" w:color="auto" w:fill="E8E8E8"/>
          </w:tcPr>
          <w:p>
            <w:pPr>
              <w:spacing w:after="40" w:before="40" w:line="240" w:lineRule="auto"/>
              <w:jc w:val="left"/>
            </w:pPr>
            <w:r>
              <w:rPr>
                <w:rFonts w:ascii="Helvetica" w:hAnsi="Helvetica" w:cs="Helvetica" w:eastAsia="Helvetica"/>
                <w:color w:val="000000"/>
                <w:sz w:val="18"/>
              </w:rPr>
              <w:t>Risque critique : à lancer dans les 3 mois.</w:t>
            </w:r>
          </w:p>
        </w:tc>
      </w:tr>
      <w:tr>
        <w:tc>
          <w:tcPr>
            <w:tcW w:type="dxa" w:w="2154"/>
            <w:shd w:val="clear" w:color="auto" w:fill="CCCCCC"/>
          </w:tcPr>
          <w:p>
            <w:pPr>
              <w:spacing w:after="40" w:before="40" w:line="240" w:lineRule="auto"/>
              <w:jc w:val="left"/>
            </w:pPr>
            <w:r>
              <w:rPr>
                <w:rFonts w:ascii="Helvetica" w:hAnsi="Helvetica" w:cs="Helvetica" w:eastAsia="Helvetica"/>
                <w:b/>
                <w:color w:val="000000"/>
                <w:sz w:val="18"/>
              </w:rPr>
              <w:t>Priorité</w:t>
            </w:r>
          </w:p>
        </w:tc>
        <w:tc>
          <w:tcPr>
            <w:tcW w:type="dxa" w:w="1361"/>
          </w:tcPr>
          <w:p>
            <w:pPr>
              <w:spacing w:after="40" w:before="40" w:line="240" w:lineRule="auto"/>
              <w:jc w:val="left"/>
            </w:pPr>
            <w:r>
              <w:rPr>
                <w:rFonts w:ascii="Helvetica" w:hAnsi="Helvetica" w:cs="Helvetica" w:eastAsia="Helvetica"/>
                <w:color w:val="ED7D31"/>
                <w:sz w:val="18"/>
              </w:rPr>
              <w:t xml:space="preserve">●</w:t>
            </w:r>
            <w:r>
              <w:rPr>
                <w:rFonts w:ascii="Helvetica" w:hAnsi="Helvetica" w:cs="Helvetica" w:eastAsia="Helvetica"/>
                <w:color w:val="000000"/>
                <w:sz w:val="18"/>
              </w:rPr>
              <w:t xml:space="preserve"> P2</w:t>
            </w:r>
          </w:p>
        </w:tc>
        <w:tc>
          <w:tcPr>
            <w:tcW w:type="dxa" w:w="6917"/>
          </w:tcPr>
          <w:p>
            <w:pPr>
              <w:spacing w:after="40" w:before="40" w:line="240" w:lineRule="auto"/>
              <w:jc w:val="left"/>
            </w:pPr>
            <w:r>
              <w:rPr>
                <w:rFonts w:ascii="Helvetica" w:hAnsi="Helvetica" w:cs="Helvetica" w:eastAsia="Helvetica"/>
                <w:color w:val="000000"/>
                <w:sz w:val="18"/>
              </w:rPr>
              <w:t>Risque élevé : à mener dans les 6 mois.</w:t>
            </w:r>
          </w:p>
        </w:tc>
      </w:tr>
      <w:tr>
        <w:tc>
          <w:tcPr>
            <w:tcW w:type="dxa" w:w="2154"/>
            <w:shd w:val="clear" w:color="auto" w:fill="CCCCCC"/>
          </w:tcPr>
          <w:p>
            <w:pPr>
              <w:spacing w:after="40" w:before="40" w:line="240" w:lineRule="auto"/>
              <w:jc w:val="left"/>
            </w:pPr>
            <w:r>
              <w:rPr>
                <w:rFonts w:ascii="Helvetica" w:hAnsi="Helvetica" w:cs="Helvetica" w:eastAsia="Helvetica"/>
                <w:b/>
                <w:color w:val="000000"/>
                <w:sz w:val="18"/>
              </w:rPr>
              <w:t>Priorité</w:t>
            </w:r>
          </w:p>
        </w:tc>
        <w:tc>
          <w:tcPr>
            <w:tcW w:type="dxa" w:w="1361"/>
            <w:shd w:val="clear" w:color="auto" w:fill="E8E8E8"/>
          </w:tcPr>
          <w:p>
            <w:pPr>
              <w:spacing w:after="40" w:before="40" w:line="240" w:lineRule="auto"/>
              <w:jc w:val="left"/>
            </w:pPr>
            <w:r>
              <w:rPr>
                <w:rFonts w:ascii="Helvetica" w:hAnsi="Helvetica" w:cs="Helvetica" w:eastAsia="Helvetica"/>
                <w:color w:val="FFC000"/>
                <w:sz w:val="18"/>
              </w:rPr>
              <w:t xml:space="preserve">●</w:t>
            </w:r>
            <w:r>
              <w:rPr>
                <w:rFonts w:ascii="Helvetica" w:hAnsi="Helvetica" w:cs="Helvetica" w:eastAsia="Helvetica"/>
                <w:color w:val="000000"/>
                <w:sz w:val="18"/>
              </w:rPr>
              <w:t xml:space="preserve"> P3</w:t>
            </w:r>
          </w:p>
        </w:tc>
        <w:tc>
          <w:tcPr>
            <w:tcW w:type="dxa" w:w="6917"/>
            <w:shd w:val="clear" w:color="auto" w:fill="E8E8E8"/>
          </w:tcPr>
          <w:p>
            <w:pPr>
              <w:spacing w:after="40" w:before="40" w:line="240" w:lineRule="auto"/>
              <w:jc w:val="left"/>
            </w:pPr>
            <w:r>
              <w:rPr>
                <w:rFonts w:ascii="Helvetica" w:hAnsi="Helvetica" w:cs="Helvetica" w:eastAsia="Helvetica"/>
                <w:color w:val="000000"/>
                <w:sz w:val="18"/>
              </w:rPr>
              <w:t>Risque moyen : à mener de 6 à 18 mois.</w:t>
            </w:r>
          </w:p>
        </w:tc>
      </w:tr>
      <w:tr>
        <w:tc>
          <w:tcPr>
            <w:tcW w:type="dxa" w:w="2154"/>
            <w:shd w:val="clear" w:color="auto" w:fill="CCCCCC"/>
          </w:tcPr>
          <w:p>
            <w:pPr>
              <w:spacing w:after="40" w:before="40" w:line="240" w:lineRule="auto"/>
              <w:jc w:val="left"/>
            </w:pPr>
            <w:r>
              <w:rPr>
                <w:rFonts w:ascii="Helvetica" w:hAnsi="Helvetica" w:cs="Helvetica" w:eastAsia="Helvetica"/>
                <w:b/>
                <w:color w:val="000000"/>
                <w:sz w:val="18"/>
              </w:rPr>
              <w:t>Priorité</w:t>
            </w:r>
          </w:p>
        </w:tc>
        <w:tc>
          <w:tcPr>
            <w:tcW w:type="dxa" w:w="1361"/>
          </w:tcPr>
          <w:p>
            <w:pPr>
              <w:spacing w:after="40" w:before="40" w:line="240" w:lineRule="auto"/>
              <w:jc w:val="left"/>
            </w:pPr>
            <w:r>
              <w:rPr>
                <w:rFonts w:ascii="Helvetica" w:hAnsi="Helvetica" w:cs="Helvetica" w:eastAsia="Helvetica"/>
                <w:color w:val="70AD47"/>
                <w:sz w:val="18"/>
              </w:rPr>
              <w:t xml:space="preserve">●</w:t>
            </w:r>
            <w:r>
              <w:rPr>
                <w:rFonts w:ascii="Helvetica" w:hAnsi="Helvetica" w:cs="Helvetica" w:eastAsia="Helvetica"/>
                <w:color w:val="000000"/>
                <w:sz w:val="18"/>
              </w:rPr>
              <w:t xml:space="preserve"> P4</w:t>
            </w:r>
          </w:p>
        </w:tc>
        <w:tc>
          <w:tcPr>
            <w:tcW w:type="dxa" w:w="6917"/>
          </w:tcPr>
          <w:p>
            <w:pPr>
              <w:spacing w:after="40" w:before="40" w:line="240" w:lineRule="auto"/>
              <w:jc w:val="left"/>
            </w:pPr>
            <w:r>
              <w:rPr>
                <w:rFonts w:ascii="Helvetica" w:hAnsi="Helvetica" w:cs="Helvetica" w:eastAsia="Helvetica"/>
                <w:color w:val="000000"/>
                <w:sz w:val="18"/>
              </w:rPr>
              <w:t>Amélioration : au-delà de 18 mois.</w:t>
            </w:r>
          </w:p>
        </w:tc>
      </w:tr>
      <w:tr>
        <w:tc>
          <w:tcPr>
            <w:tcW w:type="dxa" w:w="2154"/>
            <w:shd w:val="clear" w:color="auto" w:fill="CCCCCC"/>
          </w:tcPr>
          <w:p>
            <w:pPr>
              <w:spacing w:after="40" w:before="40" w:line="240" w:lineRule="auto"/>
              <w:jc w:val="left"/>
            </w:pPr>
            <w:r>
              <w:rPr>
                <w:rFonts w:ascii="Helvetica" w:hAnsi="Helvetica" w:cs="Helvetica" w:eastAsia="Helvetica"/>
                <w:b/>
                <w:color w:val="000000"/>
                <w:sz w:val="18"/>
              </w:rPr>
              <w:t>Gravité d'un risque</w:t>
            </w:r>
          </w:p>
        </w:tc>
        <w:tc>
          <w:tcPr>
            <w:tcW w:type="dxa" w:w="1361"/>
            <w:shd w:val="clear" w:color="auto" w:fill="E8E8E8"/>
          </w:tcPr>
          <w:p>
            <w:pPr>
              <w:spacing w:after="40" w:before="40" w:line="240" w:lineRule="auto"/>
              <w:jc w:val="left"/>
            </w:pPr>
            <w:r>
              <w:rPr>
                <w:rFonts w:ascii="Helvetica" w:hAnsi="Helvetica" w:cs="Helvetica" w:eastAsia="Helvetica"/>
                <w:color w:val="000000"/>
                <w:sz w:val="18"/>
              </w:rPr>
              <w:t>1 à 5</w:t>
            </w:r>
          </w:p>
        </w:tc>
        <w:tc>
          <w:tcPr>
            <w:tcW w:type="dxa" w:w="6917"/>
            <w:shd w:val="clear" w:color="auto" w:fill="E8E8E8"/>
          </w:tcPr>
          <w:p>
            <w:pPr>
              <w:spacing w:after="40" w:before="40" w:line="240" w:lineRule="auto"/>
              <w:jc w:val="left"/>
            </w:pPr>
            <w:r>
              <w:rPr>
                <w:rFonts w:ascii="Helvetica" w:hAnsi="Helvetica" w:cs="Helvetica" w:eastAsia="Helvetica"/>
                <w:color w:val="000000"/>
                <w:sz w:val="18"/>
              </w:rPr>
              <w:t>Moins de 50 000 000 FCFA (1), jusqu'à 500 000 000 FCFA (2), jusqu'à 2 000 000 000 FCFA (3), jusqu'à 5 000 000 000 FCFA (4), au-delà ou arrêt de l'activité (5).</w:t>
            </w:r>
          </w:p>
        </w:tc>
      </w:tr>
      <w:tr>
        <w:tc>
          <w:tcPr>
            <w:tcW w:type="dxa" w:w="2154"/>
            <w:shd w:val="clear" w:color="auto" w:fill="CCCCCC"/>
          </w:tcPr>
          <w:p>
            <w:pPr>
              <w:spacing w:after="40" w:before="40" w:line="240" w:lineRule="auto"/>
              <w:jc w:val="left"/>
            </w:pPr>
            <w:r>
              <w:rPr>
                <w:rFonts w:ascii="Helvetica" w:hAnsi="Helvetica" w:cs="Helvetica" w:eastAsia="Helvetica"/>
                <w:b/>
                <w:color w:val="000000"/>
                <w:sz w:val="18"/>
              </w:rPr>
              <w:t>Probabilité d'un risque</w:t>
            </w:r>
          </w:p>
        </w:tc>
        <w:tc>
          <w:tcPr>
            <w:tcW w:type="dxa" w:w="1361"/>
          </w:tcPr>
          <w:p>
            <w:pPr>
              <w:spacing w:after="40" w:before="40" w:line="240" w:lineRule="auto"/>
              <w:jc w:val="left"/>
            </w:pPr>
            <w:r>
              <w:rPr>
                <w:rFonts w:ascii="Helvetica" w:hAnsi="Helvetica" w:cs="Helvetica" w:eastAsia="Helvetica"/>
                <w:color w:val="000000"/>
                <w:sz w:val="18"/>
              </w:rPr>
              <w:t>1 à 5</w:t>
            </w:r>
          </w:p>
        </w:tc>
        <w:tc>
          <w:tcPr>
            <w:tcW w:type="dxa" w:w="6917"/>
          </w:tcPr>
          <w:p>
            <w:pPr>
              <w:spacing w:after="40" w:before="40" w:line="240" w:lineRule="auto"/>
              <w:jc w:val="left"/>
            </w:pPr>
            <w:r>
              <w:rPr>
                <w:rFonts w:ascii="Helvetica" w:hAnsi="Helvetica" w:cs="Helvetica" w:eastAsia="Helvetica"/>
                <w:color w:val="000000"/>
                <w:sz w:val="18"/>
              </w:rPr>
              <w:t>De très peu probable (1) à très probable, c'est-à-dire déjà constaté dans les comptes ou les fichiers (5).</w:t>
            </w:r>
          </w:p>
        </w:tc>
      </w:tr>
      <w:tr>
        <w:tc>
          <w:tcPr>
            <w:tcW w:type="dxa" w:w="2154"/>
            <w:shd w:val="clear" w:color="auto" w:fill="CCCCCC"/>
          </w:tcPr>
          <w:p>
            <w:pPr>
              <w:spacing w:after="40" w:before="40" w:line="240" w:lineRule="auto"/>
              <w:jc w:val="left"/>
            </w:pPr>
            <w:r>
              <w:rPr>
                <w:rFonts w:ascii="Helvetica" w:hAnsi="Helvetica" w:cs="Helvetica" w:eastAsia="Helvetica"/>
                <w:b/>
                <w:color w:val="000000"/>
                <w:sz w:val="18"/>
              </w:rPr>
              <w:t>Score d'un risque</w:t>
            </w:r>
          </w:p>
        </w:tc>
        <w:tc>
          <w:tcPr>
            <w:tcW w:type="dxa" w:w="1361"/>
            <w:shd w:val="clear" w:color="auto" w:fill="E8E8E8"/>
          </w:tcPr>
          <w:p>
            <w:pPr>
              <w:spacing w:after="40" w:before="40" w:line="240" w:lineRule="auto"/>
              <w:jc w:val="left"/>
            </w:pPr>
            <w:r>
              <w:rPr>
                <w:rFonts w:ascii="Helvetica" w:hAnsi="Helvetica" w:cs="Helvetica" w:eastAsia="Helvetica"/>
                <w:color w:val="000000"/>
                <w:sz w:val="18"/>
              </w:rPr>
              <w:t>1 à 25</w:t>
            </w:r>
          </w:p>
        </w:tc>
        <w:tc>
          <w:tcPr>
            <w:tcW w:type="dxa" w:w="6917"/>
            <w:shd w:val="clear" w:color="auto" w:fill="E8E8E8"/>
          </w:tcPr>
          <w:p>
            <w:pPr>
              <w:spacing w:after="40" w:before="40" w:line="240" w:lineRule="auto"/>
              <w:jc w:val="left"/>
            </w:pPr>
            <w:r>
              <w:rPr>
                <w:rFonts w:ascii="Helvetica" w:hAnsi="Helvetica" w:cs="Helvetica" w:eastAsia="Helvetica"/>
                <w:color w:val="000000"/>
                <w:sz w:val="18"/>
              </w:rPr>
              <w:t xml:space="preserve">Probabilité multipliée par gravité. </w:t>
            </w:r>
            <w:r>
              <w:rPr>
                <w:rFonts w:ascii="Helvetica" w:hAnsi="Helvetica" w:cs="Helvetica" w:eastAsia="Helvetica"/>
                <w:color w:val="C00000"/>
                <w:sz w:val="18"/>
              </w:rPr>
              <w:t xml:space="preserve">●</w:t>
            </w:r>
            <w:r>
              <w:rPr>
                <w:rFonts w:ascii="Helvetica" w:hAnsi="Helvetica" w:cs="Helvetica" w:eastAsia="Helvetica"/>
                <w:color w:val="000000"/>
                <w:sz w:val="18"/>
              </w:rPr>
              <w:t xml:space="preserve"> 15 à 25 : traitement immédiat. </w:t>
            </w:r>
            <w:r>
              <w:rPr>
                <w:rFonts w:ascii="Helvetica" w:hAnsi="Helvetica" w:cs="Helvetica" w:eastAsia="Helvetica"/>
                <w:color w:val="FFC000"/>
                <w:sz w:val="18"/>
              </w:rPr>
              <w:t xml:space="preserve">●</w:t>
            </w:r>
            <w:r>
              <w:rPr>
                <w:rFonts w:ascii="Helvetica" w:hAnsi="Helvetica" w:cs="Helvetica" w:eastAsia="Helvetica"/>
                <w:color w:val="000000"/>
                <w:sz w:val="18"/>
              </w:rPr>
              <w:t xml:space="preserve"> 8 à 12 : plan d'action. </w:t>
            </w:r>
            <w:r>
              <w:rPr>
                <w:rFonts w:ascii="Helvetica" w:hAnsi="Helvetica" w:cs="Helvetica" w:eastAsia="Helvetica"/>
                <w:color w:val="70AD47"/>
                <w:sz w:val="18"/>
              </w:rPr>
              <w:t xml:space="preserve">●</w:t>
            </w:r>
            <w:r>
              <w:rPr>
                <w:rFonts w:ascii="Helvetica" w:hAnsi="Helvetica" w:cs="Helvetica" w:eastAsia="Helvetica"/>
                <w:color w:val="000000"/>
                <w:sz w:val="18"/>
              </w:rPr>
              <w:t xml:space="preserve"> 1 à 6 : surveillance.</w:t>
            </w:r>
          </w:p>
        </w:tc>
      </w:tr>
    </w:tbl>
    <w:p>
      <w:pPr>
        <w:spacing w:after="200"/>
        <w:jc w:val="left"/>
      </w:pPr>
      <w:r>
        <w:rPr>
          <w:rFonts w:ascii="Helvetica" w:hAnsi="Helvetica" w:cs="Helvetica" w:eastAsia="Helvetica"/>
          <w:color w:val="000000"/>
          <w:sz w:val="16"/>
        </w:rPr>
        <w:t>Source : Adenka ; Rapport actuariel et statistique du 23/10/2026, diapositive 23.</w:t>
      </w:r>
    </w:p>
    <w:sectPr w:rsidR="00A51B48" w:rsidRPr="007A34AF" w:rsidSect="00D07C4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19503" w14:textId="77777777" w:rsidR="00A81025" w:rsidRPr="00AA366B" w:rsidRDefault="00A81025" w:rsidP="00982CCB">
      <w:r w:rsidRPr="00AA366B">
        <w:separator/>
      </w:r>
    </w:p>
  </w:endnote>
  <w:endnote w:type="continuationSeparator" w:id="0">
    <w:p w14:paraId="25C33989" w14:textId="77777777" w:rsidR="00A81025" w:rsidRPr="00AA366B" w:rsidRDefault="00A81025" w:rsidP="00982CCB">
      <w:r w:rsidRPr="00AA36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7CB1" w14:textId="65C06022" w:rsidR="008D0DFE" w:rsidRPr="00191CED" w:rsidRDefault="00523668" w:rsidP="00916E69">
    <w:pPr>
      <w:pStyle w:val="Footer"/>
      <w:spacing w:before="0" w:beforeAutospacing="0"/>
      <w:jc w:val="center"/>
      <w:rPr>
        <w:color w:val="auto"/>
        <w:sz w:val="20"/>
        <w:szCs w:val="20"/>
      </w:rPr>
    </w:pPr>
    <w:r w:rsidRPr="00191CED">
      <w:rPr>
        <w:caps/>
        <w:color w:val="auto"/>
        <w:sz w:val="20"/>
        <w:szCs w:val="20"/>
      </w:rPr>
      <w:fldChar w:fldCharType="begin"/>
    </w:r>
    <w:r w:rsidRPr="00191CED">
      <w:rPr>
        <w:color w:val="auto"/>
        <w:sz w:val="20"/>
        <w:szCs w:val="20"/>
      </w:rPr>
      <w:instrText>PAGE   \* MERGEFORMAT</w:instrText>
    </w:r>
    <w:r w:rsidRPr="00191CED">
      <w:rPr>
        <w:caps/>
        <w:color w:val="auto"/>
        <w:sz w:val="20"/>
        <w:szCs w:val="20"/>
      </w:rPr>
      <w:fldChar w:fldCharType="separate"/>
    </w:r>
    <w:r w:rsidRPr="00191CED">
      <w:rPr>
        <w:caps/>
        <w:color w:val="auto"/>
        <w:sz w:val="20"/>
        <w:szCs w:val="20"/>
        <w:lang w:val="fr-FR"/>
      </w:rPr>
      <w:t>2</w:t>
    </w:r>
    <w:r w:rsidRPr="00191CED">
      <w:rPr>
        <w:caps/>
        <w:color w:val="auto"/>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3DB16" w14:textId="77777777" w:rsidR="00A81025" w:rsidRPr="00AA366B" w:rsidRDefault="00A81025" w:rsidP="00982CCB">
      <w:r w:rsidRPr="00AA366B">
        <w:separator/>
      </w:r>
    </w:p>
  </w:footnote>
  <w:footnote w:type="continuationSeparator" w:id="0">
    <w:p w14:paraId="0DA603F9" w14:textId="77777777" w:rsidR="00A81025" w:rsidRPr="00AA366B" w:rsidRDefault="00A81025" w:rsidP="00982CCB">
      <w:r w:rsidRPr="00AA366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1BA"/>
    <w:multiLevelType w:val="hybridMultilevel"/>
    <w:tmpl w:val="A130392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9109F8"/>
    <w:multiLevelType w:val="hybridMultilevel"/>
    <w:tmpl w:val="544C4D6E"/>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 w15:restartNumberingAfterBreak="0">
    <w:nsid w:val="03BB544D"/>
    <w:multiLevelType w:val="hybridMultilevel"/>
    <w:tmpl w:val="3850B88E"/>
    <w:lvl w:ilvl="0" w:tplc="1E4CCD4C">
      <w:start w:val="3"/>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 w15:restartNumberingAfterBreak="0">
    <w:nsid w:val="03FE57CC"/>
    <w:multiLevelType w:val="hybridMultilevel"/>
    <w:tmpl w:val="CB1EF8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101A0E"/>
    <w:multiLevelType w:val="multilevel"/>
    <w:tmpl w:val="605C3D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D2A15"/>
    <w:multiLevelType w:val="multilevel"/>
    <w:tmpl w:val="51E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66D0E"/>
    <w:multiLevelType w:val="hybridMultilevel"/>
    <w:tmpl w:val="1794F132"/>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5780D87"/>
    <w:multiLevelType w:val="multilevel"/>
    <w:tmpl w:val="0B9475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B3488"/>
    <w:multiLevelType w:val="multilevel"/>
    <w:tmpl w:val="F2EAC0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110B1"/>
    <w:multiLevelType w:val="multilevel"/>
    <w:tmpl w:val="569298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04AEA"/>
    <w:multiLevelType w:val="hybridMultilevel"/>
    <w:tmpl w:val="94B8D07C"/>
    <w:lvl w:ilvl="0" w:tplc="5336C45A">
      <w:start w:val="1"/>
      <w:numFmt w:val="bullet"/>
      <w:lvlText w:val="▪"/>
      <w:lvlJc w:val="left"/>
      <w:pPr>
        <w:ind w:left="72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7C24226"/>
    <w:multiLevelType w:val="hybridMultilevel"/>
    <w:tmpl w:val="FE3CCCC0"/>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7E35002"/>
    <w:multiLevelType w:val="multilevel"/>
    <w:tmpl w:val="A1EEB8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96953"/>
    <w:multiLevelType w:val="hybridMultilevel"/>
    <w:tmpl w:val="C0865540"/>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08445274"/>
    <w:multiLevelType w:val="hybridMultilevel"/>
    <w:tmpl w:val="C778EE5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8D34629"/>
    <w:multiLevelType w:val="hybridMultilevel"/>
    <w:tmpl w:val="BE427172"/>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6" w15:restartNumberingAfterBreak="0">
    <w:nsid w:val="08D44C1D"/>
    <w:multiLevelType w:val="hybridMultilevel"/>
    <w:tmpl w:val="73BC4C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96B6FED"/>
    <w:multiLevelType w:val="hybridMultilevel"/>
    <w:tmpl w:val="606A4442"/>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8" w15:restartNumberingAfterBreak="0">
    <w:nsid w:val="0AAA5903"/>
    <w:multiLevelType w:val="hybridMultilevel"/>
    <w:tmpl w:val="076C39CA"/>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9" w15:restartNumberingAfterBreak="0">
    <w:nsid w:val="0B5A2DE9"/>
    <w:multiLevelType w:val="hybridMultilevel"/>
    <w:tmpl w:val="1766ED3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C472504"/>
    <w:multiLevelType w:val="hybridMultilevel"/>
    <w:tmpl w:val="8366578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0D32703C"/>
    <w:multiLevelType w:val="multilevel"/>
    <w:tmpl w:val="33301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3B4E32"/>
    <w:multiLevelType w:val="hybridMultilevel"/>
    <w:tmpl w:val="36560BD6"/>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106C3564"/>
    <w:multiLevelType w:val="multilevel"/>
    <w:tmpl w:val="E62CD3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F40814"/>
    <w:multiLevelType w:val="hybridMultilevel"/>
    <w:tmpl w:val="4DFE7F2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1324BE2"/>
    <w:multiLevelType w:val="hybridMultilevel"/>
    <w:tmpl w:val="764E0FE8"/>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26" w15:restartNumberingAfterBreak="0">
    <w:nsid w:val="126604BF"/>
    <w:multiLevelType w:val="hybridMultilevel"/>
    <w:tmpl w:val="68AE65F6"/>
    <w:lvl w:ilvl="0" w:tplc="5336C45A">
      <w:start w:val="1"/>
      <w:numFmt w:val="bullet"/>
      <w:lvlText w:val="▪"/>
      <w:lvlJc w:val="left"/>
      <w:pPr>
        <w:ind w:left="501"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E87DCC"/>
    <w:multiLevelType w:val="hybridMultilevel"/>
    <w:tmpl w:val="81308E8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3B24307"/>
    <w:multiLevelType w:val="hybridMultilevel"/>
    <w:tmpl w:val="2960A98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41C3218"/>
    <w:multiLevelType w:val="hybridMultilevel"/>
    <w:tmpl w:val="E238008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144540FA"/>
    <w:multiLevelType w:val="hybridMultilevel"/>
    <w:tmpl w:val="D4A8E370"/>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14D26160"/>
    <w:multiLevelType w:val="hybridMultilevel"/>
    <w:tmpl w:val="F340712C"/>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150E5D5A"/>
    <w:multiLevelType w:val="hybridMultilevel"/>
    <w:tmpl w:val="0A30100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15F46C0D"/>
    <w:multiLevelType w:val="hybridMultilevel"/>
    <w:tmpl w:val="207A73D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6184EBB"/>
    <w:multiLevelType w:val="hybridMultilevel"/>
    <w:tmpl w:val="4C803A4A"/>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62E198E"/>
    <w:multiLevelType w:val="hybridMultilevel"/>
    <w:tmpl w:val="0E6C9E4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75F4BCB"/>
    <w:multiLevelType w:val="hybridMultilevel"/>
    <w:tmpl w:val="E1200A4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17915653"/>
    <w:multiLevelType w:val="hybridMultilevel"/>
    <w:tmpl w:val="F8ECF6C2"/>
    <w:lvl w:ilvl="0" w:tplc="5336C45A">
      <w:start w:val="1"/>
      <w:numFmt w:val="bullet"/>
      <w:lvlText w:val="▪"/>
      <w:lvlJc w:val="left"/>
      <w:pPr>
        <w:ind w:left="501"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79279F3"/>
    <w:multiLevelType w:val="multilevel"/>
    <w:tmpl w:val="90266D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535277"/>
    <w:multiLevelType w:val="hybridMultilevel"/>
    <w:tmpl w:val="AAE45BA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8F46BB1"/>
    <w:multiLevelType w:val="hybridMultilevel"/>
    <w:tmpl w:val="147E634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15:restartNumberingAfterBreak="0">
    <w:nsid w:val="18F647B8"/>
    <w:multiLevelType w:val="hybridMultilevel"/>
    <w:tmpl w:val="8A6E02E4"/>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42" w15:restartNumberingAfterBreak="0">
    <w:nsid w:val="1A4C1118"/>
    <w:multiLevelType w:val="hybridMultilevel"/>
    <w:tmpl w:val="04E88DB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ACD5ECD"/>
    <w:multiLevelType w:val="multilevel"/>
    <w:tmpl w:val="958CAF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A52D08"/>
    <w:multiLevelType w:val="multilevel"/>
    <w:tmpl w:val="48AC5EB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785"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6342C9"/>
    <w:multiLevelType w:val="hybridMultilevel"/>
    <w:tmpl w:val="A8508974"/>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6" w15:restartNumberingAfterBreak="0">
    <w:nsid w:val="1CE64B99"/>
    <w:multiLevelType w:val="multilevel"/>
    <w:tmpl w:val="0158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67387B"/>
    <w:multiLevelType w:val="hybridMultilevel"/>
    <w:tmpl w:val="ED6AAD64"/>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48" w15:restartNumberingAfterBreak="0">
    <w:nsid w:val="1EE313FB"/>
    <w:multiLevelType w:val="hybridMultilevel"/>
    <w:tmpl w:val="79BCC440"/>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9" w15:restartNumberingAfterBreak="0">
    <w:nsid w:val="2022698E"/>
    <w:multiLevelType w:val="hybridMultilevel"/>
    <w:tmpl w:val="92C07212"/>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0" w15:restartNumberingAfterBreak="0">
    <w:nsid w:val="20742DA0"/>
    <w:multiLevelType w:val="multilevel"/>
    <w:tmpl w:val="7F5AFF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E11F93"/>
    <w:multiLevelType w:val="hybridMultilevel"/>
    <w:tmpl w:val="1C52F838"/>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52" w15:restartNumberingAfterBreak="0">
    <w:nsid w:val="211C5BF5"/>
    <w:multiLevelType w:val="hybridMultilevel"/>
    <w:tmpl w:val="2C38AD3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21451BF7"/>
    <w:multiLevelType w:val="hybridMultilevel"/>
    <w:tmpl w:val="1EE81F5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18515D9"/>
    <w:multiLevelType w:val="hybridMultilevel"/>
    <w:tmpl w:val="D612046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19A5A10"/>
    <w:multiLevelType w:val="hybridMultilevel"/>
    <w:tmpl w:val="C0423CEC"/>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6" w15:restartNumberingAfterBreak="0">
    <w:nsid w:val="22206B90"/>
    <w:multiLevelType w:val="hybridMultilevel"/>
    <w:tmpl w:val="8EE0C47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26D60CD"/>
    <w:multiLevelType w:val="hybridMultilevel"/>
    <w:tmpl w:val="D4A0BCA6"/>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8" w15:restartNumberingAfterBreak="0">
    <w:nsid w:val="22EE35C2"/>
    <w:multiLevelType w:val="hybridMultilevel"/>
    <w:tmpl w:val="097C4578"/>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9" w15:restartNumberingAfterBreak="0">
    <w:nsid w:val="2401053E"/>
    <w:multiLevelType w:val="hybridMultilevel"/>
    <w:tmpl w:val="B60EE11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0" w15:restartNumberingAfterBreak="0">
    <w:nsid w:val="24812D70"/>
    <w:multiLevelType w:val="hybridMultilevel"/>
    <w:tmpl w:val="973ECDC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4C71200"/>
    <w:multiLevelType w:val="hybridMultilevel"/>
    <w:tmpl w:val="8662FC3C"/>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57A7D86"/>
    <w:multiLevelType w:val="hybridMultilevel"/>
    <w:tmpl w:val="C3D41BB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3" w15:restartNumberingAfterBreak="0">
    <w:nsid w:val="25E61A63"/>
    <w:multiLevelType w:val="multilevel"/>
    <w:tmpl w:val="734216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B35A40"/>
    <w:multiLevelType w:val="hybridMultilevel"/>
    <w:tmpl w:val="3ACE49EA"/>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65" w15:restartNumberingAfterBreak="0">
    <w:nsid w:val="26B47B2E"/>
    <w:multiLevelType w:val="hybridMultilevel"/>
    <w:tmpl w:val="B994073C"/>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6EA152A"/>
    <w:multiLevelType w:val="multilevel"/>
    <w:tmpl w:val="F70E62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010B41"/>
    <w:multiLevelType w:val="hybridMultilevel"/>
    <w:tmpl w:val="DFF07FCA"/>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68" w15:restartNumberingAfterBreak="0">
    <w:nsid w:val="27A358A0"/>
    <w:multiLevelType w:val="hybridMultilevel"/>
    <w:tmpl w:val="59C4086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9" w15:restartNumberingAfterBreak="0">
    <w:nsid w:val="27DD0929"/>
    <w:multiLevelType w:val="hybridMultilevel"/>
    <w:tmpl w:val="3BA21512"/>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0" w15:restartNumberingAfterBreak="0">
    <w:nsid w:val="282C5D87"/>
    <w:multiLevelType w:val="multilevel"/>
    <w:tmpl w:val="19EE439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382F42"/>
    <w:multiLevelType w:val="hybridMultilevel"/>
    <w:tmpl w:val="8AB85FA2"/>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2" w15:restartNumberingAfterBreak="0">
    <w:nsid w:val="28D109DE"/>
    <w:multiLevelType w:val="hybridMultilevel"/>
    <w:tmpl w:val="6DE8D9D8"/>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73" w15:restartNumberingAfterBreak="0">
    <w:nsid w:val="29E02D54"/>
    <w:multiLevelType w:val="hybridMultilevel"/>
    <w:tmpl w:val="4CE08F8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4" w15:restartNumberingAfterBreak="0">
    <w:nsid w:val="2A5B3249"/>
    <w:multiLevelType w:val="multilevel"/>
    <w:tmpl w:val="356E04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DC4F8C"/>
    <w:multiLevelType w:val="multilevel"/>
    <w:tmpl w:val="DCE4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131F89"/>
    <w:multiLevelType w:val="multilevel"/>
    <w:tmpl w:val="B652D8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E92C54"/>
    <w:multiLevelType w:val="hybridMultilevel"/>
    <w:tmpl w:val="BAF007C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2DAC4ACA"/>
    <w:multiLevelType w:val="multilevel"/>
    <w:tmpl w:val="40CAEF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B9504A"/>
    <w:multiLevelType w:val="hybridMultilevel"/>
    <w:tmpl w:val="C0147482"/>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80" w15:restartNumberingAfterBreak="0">
    <w:nsid w:val="2E313CC8"/>
    <w:multiLevelType w:val="multilevel"/>
    <w:tmpl w:val="1D4C3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EEF44E7"/>
    <w:multiLevelType w:val="hybridMultilevel"/>
    <w:tmpl w:val="D5A6EAD6"/>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82" w15:restartNumberingAfterBreak="0">
    <w:nsid w:val="30600258"/>
    <w:multiLevelType w:val="hybridMultilevel"/>
    <w:tmpl w:val="4BB6FD08"/>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83" w15:restartNumberingAfterBreak="0">
    <w:nsid w:val="308D45F4"/>
    <w:multiLevelType w:val="hybridMultilevel"/>
    <w:tmpl w:val="EA16D184"/>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84" w15:restartNumberingAfterBreak="0">
    <w:nsid w:val="31152254"/>
    <w:multiLevelType w:val="hybridMultilevel"/>
    <w:tmpl w:val="7772ECEC"/>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5" w15:restartNumberingAfterBreak="0">
    <w:nsid w:val="32687E51"/>
    <w:multiLevelType w:val="hybridMultilevel"/>
    <w:tmpl w:val="CE3A46D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6" w15:restartNumberingAfterBreak="0">
    <w:nsid w:val="32E8331A"/>
    <w:multiLevelType w:val="multilevel"/>
    <w:tmpl w:val="D242C2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D4115A"/>
    <w:multiLevelType w:val="hybridMultilevel"/>
    <w:tmpl w:val="C54EE060"/>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8" w15:restartNumberingAfterBreak="0">
    <w:nsid w:val="33ED4844"/>
    <w:multiLevelType w:val="hybridMultilevel"/>
    <w:tmpl w:val="13029358"/>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9" w15:restartNumberingAfterBreak="0">
    <w:nsid w:val="34333A1C"/>
    <w:multiLevelType w:val="hybridMultilevel"/>
    <w:tmpl w:val="061A5010"/>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34AC7343"/>
    <w:multiLevelType w:val="hybridMultilevel"/>
    <w:tmpl w:val="45227FFE"/>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91" w15:restartNumberingAfterBreak="0">
    <w:nsid w:val="361B5DB8"/>
    <w:multiLevelType w:val="hybridMultilevel"/>
    <w:tmpl w:val="3B5A526C"/>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6517BFC"/>
    <w:multiLevelType w:val="multilevel"/>
    <w:tmpl w:val="72EA19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8542E1"/>
    <w:multiLevelType w:val="hybridMultilevel"/>
    <w:tmpl w:val="DAD00D48"/>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94" w15:restartNumberingAfterBreak="0">
    <w:nsid w:val="36DF52AB"/>
    <w:multiLevelType w:val="multilevel"/>
    <w:tmpl w:val="3A8424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380F14"/>
    <w:multiLevelType w:val="hybridMultilevel"/>
    <w:tmpl w:val="BE0A23F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6" w15:restartNumberingAfterBreak="0">
    <w:nsid w:val="373C2958"/>
    <w:multiLevelType w:val="hybridMultilevel"/>
    <w:tmpl w:val="A2EE03E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37933F51"/>
    <w:multiLevelType w:val="hybridMultilevel"/>
    <w:tmpl w:val="695A2BD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38292F51"/>
    <w:multiLevelType w:val="hybridMultilevel"/>
    <w:tmpl w:val="D66EE8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9" w15:restartNumberingAfterBreak="0">
    <w:nsid w:val="3AEE0DEF"/>
    <w:multiLevelType w:val="hybridMultilevel"/>
    <w:tmpl w:val="73D8898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3B027896"/>
    <w:multiLevelType w:val="hybridMultilevel"/>
    <w:tmpl w:val="E978307C"/>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3B79528B"/>
    <w:multiLevelType w:val="hybridMultilevel"/>
    <w:tmpl w:val="EF46033C"/>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02" w15:restartNumberingAfterBreak="0">
    <w:nsid w:val="3C486091"/>
    <w:multiLevelType w:val="hybridMultilevel"/>
    <w:tmpl w:val="D60C29C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3F29544F"/>
    <w:multiLevelType w:val="hybridMultilevel"/>
    <w:tmpl w:val="4E20A3C6"/>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04" w15:restartNumberingAfterBreak="0">
    <w:nsid w:val="3FCD5D9F"/>
    <w:multiLevelType w:val="multilevel"/>
    <w:tmpl w:val="E91A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6E4BBC"/>
    <w:multiLevelType w:val="hybridMultilevel"/>
    <w:tmpl w:val="5B149B0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1E23773"/>
    <w:multiLevelType w:val="multilevel"/>
    <w:tmpl w:val="47E0BD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2118F5"/>
    <w:multiLevelType w:val="hybridMultilevel"/>
    <w:tmpl w:val="31D042B2"/>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08" w15:restartNumberingAfterBreak="0">
    <w:nsid w:val="437762AD"/>
    <w:multiLevelType w:val="hybridMultilevel"/>
    <w:tmpl w:val="B7B8AB80"/>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51B67F0"/>
    <w:multiLevelType w:val="multilevel"/>
    <w:tmpl w:val="895E71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6E5444"/>
    <w:multiLevelType w:val="hybridMultilevel"/>
    <w:tmpl w:val="F286C9F0"/>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11" w15:restartNumberingAfterBreak="0">
    <w:nsid w:val="463D5D19"/>
    <w:multiLevelType w:val="hybridMultilevel"/>
    <w:tmpl w:val="ADAC26E8"/>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2" w15:restartNumberingAfterBreak="0">
    <w:nsid w:val="49E94215"/>
    <w:multiLevelType w:val="hybridMultilevel"/>
    <w:tmpl w:val="9E92B0C8"/>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13" w15:restartNumberingAfterBreak="0">
    <w:nsid w:val="4A0D08AA"/>
    <w:multiLevelType w:val="hybridMultilevel"/>
    <w:tmpl w:val="2C6475A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4A2D69CB"/>
    <w:multiLevelType w:val="hybridMultilevel"/>
    <w:tmpl w:val="186E7714"/>
    <w:lvl w:ilvl="0" w:tplc="BFF4A1BE">
      <w:start w:val="1"/>
      <w:numFmt w:val="decimal"/>
      <w:lvlText w:val="%1."/>
      <w:lvlJc w:val="left"/>
      <w:pPr>
        <w:ind w:left="720" w:hanging="360"/>
      </w:pPr>
      <w:rPr>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B250E68"/>
    <w:multiLevelType w:val="hybridMultilevel"/>
    <w:tmpl w:val="96C45CCE"/>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16" w15:restartNumberingAfterBreak="0">
    <w:nsid w:val="4C023CBE"/>
    <w:multiLevelType w:val="hybridMultilevel"/>
    <w:tmpl w:val="1318F3B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4C1B75A5"/>
    <w:multiLevelType w:val="hybridMultilevel"/>
    <w:tmpl w:val="3404D14A"/>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18" w15:restartNumberingAfterBreak="0">
    <w:nsid w:val="4DA44316"/>
    <w:multiLevelType w:val="hybridMultilevel"/>
    <w:tmpl w:val="B9440C3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9" w15:restartNumberingAfterBreak="0">
    <w:nsid w:val="4DC015F5"/>
    <w:multiLevelType w:val="hybridMultilevel"/>
    <w:tmpl w:val="01824B36"/>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20" w15:restartNumberingAfterBreak="0">
    <w:nsid w:val="4E7118CE"/>
    <w:multiLevelType w:val="hybridMultilevel"/>
    <w:tmpl w:val="7B6430B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F623447"/>
    <w:multiLevelType w:val="hybridMultilevel"/>
    <w:tmpl w:val="8BD86746"/>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22" w15:restartNumberingAfterBreak="0">
    <w:nsid w:val="504B148E"/>
    <w:multiLevelType w:val="multilevel"/>
    <w:tmpl w:val="AE08DA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9B0BC5"/>
    <w:multiLevelType w:val="multilevel"/>
    <w:tmpl w:val="50BEFB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C14987"/>
    <w:multiLevelType w:val="hybridMultilevel"/>
    <w:tmpl w:val="FC4C87C0"/>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5" w15:restartNumberingAfterBreak="0">
    <w:nsid w:val="50E4039E"/>
    <w:multiLevelType w:val="hybridMultilevel"/>
    <w:tmpl w:val="EFEA9364"/>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26" w15:restartNumberingAfterBreak="0">
    <w:nsid w:val="520379A7"/>
    <w:multiLevelType w:val="hybridMultilevel"/>
    <w:tmpl w:val="8C68F77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7" w15:restartNumberingAfterBreak="0">
    <w:nsid w:val="525B402B"/>
    <w:multiLevelType w:val="hybridMultilevel"/>
    <w:tmpl w:val="0A42CA92"/>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8" w15:restartNumberingAfterBreak="0">
    <w:nsid w:val="52723620"/>
    <w:multiLevelType w:val="hybridMultilevel"/>
    <w:tmpl w:val="3CE6A5E6"/>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29" w15:restartNumberingAfterBreak="0">
    <w:nsid w:val="529E4199"/>
    <w:multiLevelType w:val="hybridMultilevel"/>
    <w:tmpl w:val="96AE0C94"/>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30" w15:restartNumberingAfterBreak="0">
    <w:nsid w:val="52E0270C"/>
    <w:multiLevelType w:val="hybridMultilevel"/>
    <w:tmpl w:val="788AA3CE"/>
    <w:lvl w:ilvl="0" w:tplc="5336C45A">
      <w:start w:val="1"/>
      <w:numFmt w:val="bullet"/>
      <w:lvlText w:val="▪"/>
      <w:lvlJc w:val="left"/>
      <w:pPr>
        <w:ind w:left="501"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53227B2E"/>
    <w:multiLevelType w:val="hybridMultilevel"/>
    <w:tmpl w:val="DAA69C8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2" w15:restartNumberingAfterBreak="0">
    <w:nsid w:val="540B6998"/>
    <w:multiLevelType w:val="hybridMultilevel"/>
    <w:tmpl w:val="81064ACC"/>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43D62C8"/>
    <w:multiLevelType w:val="hybridMultilevel"/>
    <w:tmpl w:val="9C5E3DDE"/>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34" w15:restartNumberingAfterBreak="0">
    <w:nsid w:val="5463223D"/>
    <w:multiLevelType w:val="hybridMultilevel"/>
    <w:tmpl w:val="59F8151E"/>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35" w15:restartNumberingAfterBreak="0">
    <w:nsid w:val="54AA3D1E"/>
    <w:multiLevelType w:val="hybridMultilevel"/>
    <w:tmpl w:val="E0328D7A"/>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36" w15:restartNumberingAfterBreak="0">
    <w:nsid w:val="55B07F7A"/>
    <w:multiLevelType w:val="hybridMultilevel"/>
    <w:tmpl w:val="91B68F2E"/>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7" w15:restartNumberingAfterBreak="0">
    <w:nsid w:val="560666AE"/>
    <w:multiLevelType w:val="hybridMultilevel"/>
    <w:tmpl w:val="E698DCA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563212DA"/>
    <w:multiLevelType w:val="multilevel"/>
    <w:tmpl w:val="AE240F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E6694D"/>
    <w:multiLevelType w:val="hybridMultilevel"/>
    <w:tmpl w:val="0B286EE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593D5087"/>
    <w:multiLevelType w:val="hybridMultilevel"/>
    <w:tmpl w:val="19A2A73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59752A43"/>
    <w:multiLevelType w:val="multilevel"/>
    <w:tmpl w:val="F98C27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EE585F"/>
    <w:multiLevelType w:val="multilevel"/>
    <w:tmpl w:val="A600B8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B226CA"/>
    <w:multiLevelType w:val="hybridMultilevel"/>
    <w:tmpl w:val="58587D32"/>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44" w15:restartNumberingAfterBreak="0">
    <w:nsid w:val="5BAC26D7"/>
    <w:multiLevelType w:val="hybridMultilevel"/>
    <w:tmpl w:val="97E6FDB0"/>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5" w15:restartNumberingAfterBreak="0">
    <w:nsid w:val="5BD7112A"/>
    <w:multiLevelType w:val="hybridMultilevel"/>
    <w:tmpl w:val="5EAA209C"/>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5E3314A2"/>
    <w:multiLevelType w:val="hybridMultilevel"/>
    <w:tmpl w:val="8BBAFB1A"/>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47" w15:restartNumberingAfterBreak="0">
    <w:nsid w:val="5F267517"/>
    <w:multiLevelType w:val="hybridMultilevel"/>
    <w:tmpl w:val="843EDC16"/>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8" w15:restartNumberingAfterBreak="0">
    <w:nsid w:val="5FD82BB9"/>
    <w:multiLevelType w:val="hybridMultilevel"/>
    <w:tmpl w:val="34144E5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606B2F67"/>
    <w:multiLevelType w:val="hybridMultilevel"/>
    <w:tmpl w:val="A0A4419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0" w15:restartNumberingAfterBreak="0">
    <w:nsid w:val="62314C83"/>
    <w:multiLevelType w:val="hybridMultilevel"/>
    <w:tmpl w:val="EF5C3F82"/>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1" w15:restartNumberingAfterBreak="0">
    <w:nsid w:val="623E3264"/>
    <w:multiLevelType w:val="hybridMultilevel"/>
    <w:tmpl w:val="A394D6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 w15:restartNumberingAfterBreak="0">
    <w:nsid w:val="624C3DBD"/>
    <w:multiLevelType w:val="multilevel"/>
    <w:tmpl w:val="E21283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FF1036"/>
    <w:multiLevelType w:val="hybridMultilevel"/>
    <w:tmpl w:val="36C47BC6"/>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4" w15:restartNumberingAfterBreak="0">
    <w:nsid w:val="63016B61"/>
    <w:multiLevelType w:val="hybridMultilevel"/>
    <w:tmpl w:val="4A1440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635D31AF"/>
    <w:multiLevelType w:val="multilevel"/>
    <w:tmpl w:val="1DFEE2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6A2246"/>
    <w:multiLevelType w:val="multilevel"/>
    <w:tmpl w:val="F51266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E81692"/>
    <w:multiLevelType w:val="multilevel"/>
    <w:tmpl w:val="6A48A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C4711C"/>
    <w:multiLevelType w:val="hybridMultilevel"/>
    <w:tmpl w:val="26283C10"/>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59" w15:restartNumberingAfterBreak="0">
    <w:nsid w:val="65D61FBC"/>
    <w:multiLevelType w:val="hybridMultilevel"/>
    <w:tmpl w:val="48A8E4A6"/>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0" w15:restartNumberingAfterBreak="0">
    <w:nsid w:val="678826CC"/>
    <w:multiLevelType w:val="hybridMultilevel"/>
    <w:tmpl w:val="3BD82C9A"/>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69303134"/>
    <w:multiLevelType w:val="hybridMultilevel"/>
    <w:tmpl w:val="979A879A"/>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69AB2324"/>
    <w:multiLevelType w:val="hybridMultilevel"/>
    <w:tmpl w:val="8EFA928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69C6120B"/>
    <w:multiLevelType w:val="multilevel"/>
    <w:tmpl w:val="9C9206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C90DCC"/>
    <w:multiLevelType w:val="hybridMultilevel"/>
    <w:tmpl w:val="F4AC08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69D01589"/>
    <w:multiLevelType w:val="hybridMultilevel"/>
    <w:tmpl w:val="ACC48F9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6" w15:restartNumberingAfterBreak="0">
    <w:nsid w:val="6A87165A"/>
    <w:multiLevelType w:val="hybridMultilevel"/>
    <w:tmpl w:val="56685EF6"/>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67" w15:restartNumberingAfterBreak="0">
    <w:nsid w:val="6AB16296"/>
    <w:multiLevelType w:val="hybridMultilevel"/>
    <w:tmpl w:val="9C2A932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6ABD1D00"/>
    <w:multiLevelType w:val="hybridMultilevel"/>
    <w:tmpl w:val="A6045BBA"/>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69" w15:restartNumberingAfterBreak="0">
    <w:nsid w:val="6B882068"/>
    <w:multiLevelType w:val="multilevel"/>
    <w:tmpl w:val="72EA19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D477C6A"/>
    <w:multiLevelType w:val="hybridMultilevel"/>
    <w:tmpl w:val="63DED3D2"/>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71" w15:restartNumberingAfterBreak="0">
    <w:nsid w:val="6DD566A3"/>
    <w:multiLevelType w:val="hybridMultilevel"/>
    <w:tmpl w:val="B6A2E4D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2" w15:restartNumberingAfterBreak="0">
    <w:nsid w:val="6DDB30DC"/>
    <w:multiLevelType w:val="multilevel"/>
    <w:tmpl w:val="06DC9B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A55466"/>
    <w:multiLevelType w:val="hybridMultilevel"/>
    <w:tmpl w:val="27009498"/>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4" w15:restartNumberingAfterBreak="0">
    <w:nsid w:val="70F52C10"/>
    <w:multiLevelType w:val="hybridMultilevel"/>
    <w:tmpl w:val="270E8C94"/>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75" w15:restartNumberingAfterBreak="0">
    <w:nsid w:val="70FC5326"/>
    <w:multiLevelType w:val="hybridMultilevel"/>
    <w:tmpl w:val="4EF8D6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6" w15:restartNumberingAfterBreak="0">
    <w:nsid w:val="7122753A"/>
    <w:multiLevelType w:val="hybridMultilevel"/>
    <w:tmpl w:val="15D28E96"/>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7" w15:restartNumberingAfterBreak="0">
    <w:nsid w:val="716F120F"/>
    <w:multiLevelType w:val="hybridMultilevel"/>
    <w:tmpl w:val="FD04255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8" w15:restartNumberingAfterBreak="0">
    <w:nsid w:val="722B205E"/>
    <w:multiLevelType w:val="hybridMultilevel"/>
    <w:tmpl w:val="CFD0D360"/>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9" w15:restartNumberingAfterBreak="0">
    <w:nsid w:val="73DD37FD"/>
    <w:multiLevelType w:val="multilevel"/>
    <w:tmpl w:val="8ACC29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2862FB"/>
    <w:multiLevelType w:val="hybridMultilevel"/>
    <w:tmpl w:val="FECCA01E"/>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81" w15:restartNumberingAfterBreak="0">
    <w:nsid w:val="757C6880"/>
    <w:multiLevelType w:val="hybridMultilevel"/>
    <w:tmpl w:val="8B5CD30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762C4F59"/>
    <w:multiLevelType w:val="multilevel"/>
    <w:tmpl w:val="8A847B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B55DB9"/>
    <w:multiLevelType w:val="hybridMultilevel"/>
    <w:tmpl w:val="9A5EAF2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77763967"/>
    <w:multiLevelType w:val="hybridMultilevel"/>
    <w:tmpl w:val="90720B72"/>
    <w:lvl w:ilvl="0" w:tplc="04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785944C6"/>
    <w:multiLevelType w:val="hybridMultilevel"/>
    <w:tmpl w:val="CC6021B2"/>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86" w15:restartNumberingAfterBreak="0">
    <w:nsid w:val="78715A0F"/>
    <w:multiLevelType w:val="hybridMultilevel"/>
    <w:tmpl w:val="62F005F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7" w15:restartNumberingAfterBreak="0">
    <w:nsid w:val="796D26C1"/>
    <w:multiLevelType w:val="hybridMultilevel"/>
    <w:tmpl w:val="CF3A9FFE"/>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88" w15:restartNumberingAfterBreak="0">
    <w:nsid w:val="79DA6B97"/>
    <w:multiLevelType w:val="multilevel"/>
    <w:tmpl w:val="2F180F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235E55"/>
    <w:multiLevelType w:val="multilevel"/>
    <w:tmpl w:val="E6DAC5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AC6921"/>
    <w:multiLevelType w:val="hybridMultilevel"/>
    <w:tmpl w:val="EB1ACABA"/>
    <w:lvl w:ilvl="0" w:tplc="5336C45A">
      <w:start w:val="1"/>
      <w:numFmt w:val="bullet"/>
      <w:lvlText w:val="▪"/>
      <w:lvlJc w:val="left"/>
      <w:pPr>
        <w:ind w:left="501"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 w15:restartNumberingAfterBreak="0">
    <w:nsid w:val="7AB130B7"/>
    <w:multiLevelType w:val="multilevel"/>
    <w:tmpl w:val="E334F5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F850BA"/>
    <w:multiLevelType w:val="hybridMultilevel"/>
    <w:tmpl w:val="24C6092C"/>
    <w:lvl w:ilvl="0" w:tplc="5336C45A">
      <w:start w:val="1"/>
      <w:numFmt w:val="bullet"/>
      <w:lvlText w:val="▪"/>
      <w:lvlJc w:val="left"/>
      <w:pPr>
        <w:ind w:left="360" w:hanging="360"/>
      </w:pPr>
      <w:rPr>
        <w:rFonts w:ascii="Helvetica" w:eastAsia="Helvetica" w:hAnsi="Helvetica" w:cs="Helvetica" w:hint="default"/>
        <w:sz w:val="16"/>
        <w:szCs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3" w15:restartNumberingAfterBreak="0">
    <w:nsid w:val="7B437D13"/>
    <w:multiLevelType w:val="hybridMultilevel"/>
    <w:tmpl w:val="3D368D2E"/>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94" w15:restartNumberingAfterBreak="0">
    <w:nsid w:val="7B472423"/>
    <w:multiLevelType w:val="hybridMultilevel"/>
    <w:tmpl w:val="28465A7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5" w15:restartNumberingAfterBreak="0">
    <w:nsid w:val="7BAB2397"/>
    <w:multiLevelType w:val="multilevel"/>
    <w:tmpl w:val="0A14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CB32938"/>
    <w:multiLevelType w:val="multilevel"/>
    <w:tmpl w:val="27345B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BF11CF"/>
    <w:multiLevelType w:val="hybridMultilevel"/>
    <w:tmpl w:val="B4EC530E"/>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98" w15:restartNumberingAfterBreak="0">
    <w:nsid w:val="7CCC759A"/>
    <w:multiLevelType w:val="hybridMultilevel"/>
    <w:tmpl w:val="C02E1DD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9" w15:restartNumberingAfterBreak="0">
    <w:nsid w:val="7D156A63"/>
    <w:multiLevelType w:val="multilevel"/>
    <w:tmpl w:val="F0D0F6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D7E1B58"/>
    <w:multiLevelType w:val="hybridMultilevel"/>
    <w:tmpl w:val="785A9E5C"/>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1" w15:restartNumberingAfterBreak="0">
    <w:nsid w:val="7DE046A1"/>
    <w:multiLevelType w:val="hybridMultilevel"/>
    <w:tmpl w:val="AB9C147C"/>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2" w15:restartNumberingAfterBreak="0">
    <w:nsid w:val="7EB70D2B"/>
    <w:multiLevelType w:val="hybridMultilevel"/>
    <w:tmpl w:val="D3A85A6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1716378">
    <w:abstractNumId w:val="18"/>
  </w:num>
  <w:num w:numId="2" w16cid:durableId="827481906">
    <w:abstractNumId w:val="134"/>
  </w:num>
  <w:num w:numId="3" w16cid:durableId="1612127971">
    <w:abstractNumId w:val="74"/>
  </w:num>
  <w:num w:numId="4" w16cid:durableId="1551379516">
    <w:abstractNumId w:val="103"/>
  </w:num>
  <w:num w:numId="5" w16cid:durableId="585068767">
    <w:abstractNumId w:val="86"/>
  </w:num>
  <w:num w:numId="6" w16cid:durableId="1992101476">
    <w:abstractNumId w:val="142"/>
  </w:num>
  <w:num w:numId="7" w16cid:durableId="776564719">
    <w:abstractNumId w:val="199"/>
  </w:num>
  <w:num w:numId="8" w16cid:durableId="1824740789">
    <w:abstractNumId w:val="107"/>
  </w:num>
  <w:num w:numId="9" w16cid:durableId="1113476845">
    <w:abstractNumId w:val="25"/>
  </w:num>
  <w:num w:numId="10" w16cid:durableId="666134804">
    <w:abstractNumId w:val="197"/>
  </w:num>
  <w:num w:numId="11" w16cid:durableId="1619022094">
    <w:abstractNumId w:val="133"/>
  </w:num>
  <w:num w:numId="12" w16cid:durableId="95057559">
    <w:abstractNumId w:val="110"/>
  </w:num>
  <w:num w:numId="13" w16cid:durableId="1041632535">
    <w:abstractNumId w:val="146"/>
  </w:num>
  <w:num w:numId="14" w16cid:durableId="2080597357">
    <w:abstractNumId w:val="112"/>
  </w:num>
  <w:num w:numId="15" w16cid:durableId="1303852583">
    <w:abstractNumId w:val="81"/>
  </w:num>
  <w:num w:numId="16" w16cid:durableId="2146849235">
    <w:abstractNumId w:val="119"/>
  </w:num>
  <w:num w:numId="17" w16cid:durableId="478421837">
    <w:abstractNumId w:val="15"/>
  </w:num>
  <w:num w:numId="18" w16cid:durableId="1650597432">
    <w:abstractNumId w:val="1"/>
  </w:num>
  <w:num w:numId="19" w16cid:durableId="2023163879">
    <w:abstractNumId w:val="115"/>
  </w:num>
  <w:num w:numId="20" w16cid:durableId="530143435">
    <w:abstractNumId w:val="101"/>
  </w:num>
  <w:num w:numId="21" w16cid:durableId="550073306">
    <w:abstractNumId w:val="128"/>
  </w:num>
  <w:num w:numId="22" w16cid:durableId="1597441288">
    <w:abstractNumId w:val="82"/>
  </w:num>
  <w:num w:numId="23" w16cid:durableId="1635911370">
    <w:abstractNumId w:val="90"/>
  </w:num>
  <w:num w:numId="24" w16cid:durableId="250433106">
    <w:abstractNumId w:val="129"/>
  </w:num>
  <w:num w:numId="25" w16cid:durableId="818961810">
    <w:abstractNumId w:val="170"/>
  </w:num>
  <w:num w:numId="26" w16cid:durableId="214512143">
    <w:abstractNumId w:val="67"/>
  </w:num>
  <w:num w:numId="27" w16cid:durableId="106583589">
    <w:abstractNumId w:val="51"/>
  </w:num>
  <w:num w:numId="28" w16cid:durableId="1289239866">
    <w:abstractNumId w:val="72"/>
  </w:num>
  <w:num w:numId="29" w16cid:durableId="1747261678">
    <w:abstractNumId w:val="47"/>
  </w:num>
  <w:num w:numId="30" w16cid:durableId="1431507751">
    <w:abstractNumId w:val="158"/>
  </w:num>
  <w:num w:numId="31" w16cid:durableId="1913198515">
    <w:abstractNumId w:val="135"/>
  </w:num>
  <w:num w:numId="32" w16cid:durableId="1646355525">
    <w:abstractNumId w:val="166"/>
  </w:num>
  <w:num w:numId="33" w16cid:durableId="1923947822">
    <w:abstractNumId w:val="83"/>
  </w:num>
  <w:num w:numId="34" w16cid:durableId="2099787472">
    <w:abstractNumId w:val="193"/>
  </w:num>
  <w:num w:numId="35" w16cid:durableId="1653438609">
    <w:abstractNumId w:val="64"/>
  </w:num>
  <w:num w:numId="36" w16cid:durableId="646932178">
    <w:abstractNumId w:val="125"/>
  </w:num>
  <w:num w:numId="37" w16cid:durableId="395981861">
    <w:abstractNumId w:val="79"/>
  </w:num>
  <w:num w:numId="38" w16cid:durableId="1437402528">
    <w:abstractNumId w:val="17"/>
  </w:num>
  <w:num w:numId="39" w16cid:durableId="314771629">
    <w:abstractNumId w:val="187"/>
  </w:num>
  <w:num w:numId="40" w16cid:durableId="1493256539">
    <w:abstractNumId w:val="174"/>
  </w:num>
  <w:num w:numId="41" w16cid:durableId="608708624">
    <w:abstractNumId w:val="157"/>
  </w:num>
  <w:num w:numId="42" w16cid:durableId="1967000917">
    <w:abstractNumId w:val="106"/>
  </w:num>
  <w:num w:numId="43" w16cid:durableId="1754274267">
    <w:abstractNumId w:val="104"/>
  </w:num>
  <w:num w:numId="44" w16cid:durableId="36783895">
    <w:abstractNumId w:val="8"/>
  </w:num>
  <w:num w:numId="45" w16cid:durableId="1234774231">
    <w:abstractNumId w:val="80"/>
  </w:num>
  <w:num w:numId="46" w16cid:durableId="388069298">
    <w:abstractNumId w:val="9"/>
  </w:num>
  <w:num w:numId="47" w16cid:durableId="943919047">
    <w:abstractNumId w:val="189"/>
  </w:num>
  <w:num w:numId="48" w16cid:durableId="1024551951">
    <w:abstractNumId w:val="70"/>
  </w:num>
  <w:num w:numId="49" w16cid:durableId="900409084">
    <w:abstractNumId w:val="43"/>
  </w:num>
  <w:num w:numId="50" w16cid:durableId="838469083">
    <w:abstractNumId w:val="12"/>
  </w:num>
  <w:num w:numId="51" w16cid:durableId="1938168313">
    <w:abstractNumId w:val="21"/>
  </w:num>
  <w:num w:numId="52" w16cid:durableId="985160892">
    <w:abstractNumId w:val="195"/>
  </w:num>
  <w:num w:numId="53" w16cid:durableId="995257585">
    <w:abstractNumId w:val="123"/>
  </w:num>
  <w:num w:numId="54" w16cid:durableId="1077438368">
    <w:abstractNumId w:val="109"/>
  </w:num>
  <w:num w:numId="55" w16cid:durableId="458495134">
    <w:abstractNumId w:val="5"/>
  </w:num>
  <w:num w:numId="56" w16cid:durableId="1493716553">
    <w:abstractNumId w:val="46"/>
  </w:num>
  <w:num w:numId="57" w16cid:durableId="1999380414">
    <w:abstractNumId w:val="23"/>
  </w:num>
  <w:num w:numId="58" w16cid:durableId="1349211302">
    <w:abstractNumId w:val="92"/>
  </w:num>
  <w:num w:numId="59" w16cid:durableId="864442192">
    <w:abstractNumId w:val="169"/>
  </w:num>
  <w:num w:numId="60" w16cid:durableId="1128477805">
    <w:abstractNumId w:val="152"/>
  </w:num>
  <w:num w:numId="61" w16cid:durableId="1035277731">
    <w:abstractNumId w:val="38"/>
  </w:num>
  <w:num w:numId="62" w16cid:durableId="980115181">
    <w:abstractNumId w:val="180"/>
  </w:num>
  <w:num w:numId="63" w16cid:durableId="953444979">
    <w:abstractNumId w:val="94"/>
  </w:num>
  <w:num w:numId="64" w16cid:durableId="1756243760">
    <w:abstractNumId w:val="78"/>
  </w:num>
  <w:num w:numId="65" w16cid:durableId="1801613191">
    <w:abstractNumId w:val="168"/>
  </w:num>
  <w:num w:numId="66" w16cid:durableId="910458486">
    <w:abstractNumId w:val="179"/>
  </w:num>
  <w:num w:numId="67" w16cid:durableId="45493128">
    <w:abstractNumId w:val="50"/>
  </w:num>
  <w:num w:numId="68" w16cid:durableId="770319645">
    <w:abstractNumId w:val="172"/>
  </w:num>
  <w:num w:numId="69" w16cid:durableId="602346059">
    <w:abstractNumId w:val="66"/>
  </w:num>
  <w:num w:numId="70" w16cid:durableId="323970561">
    <w:abstractNumId w:val="7"/>
  </w:num>
  <w:num w:numId="71" w16cid:durableId="985427749">
    <w:abstractNumId w:val="75"/>
  </w:num>
  <w:num w:numId="72" w16cid:durableId="163520989">
    <w:abstractNumId w:val="76"/>
  </w:num>
  <w:num w:numId="73" w16cid:durableId="276641771">
    <w:abstractNumId w:val="191"/>
  </w:num>
  <w:num w:numId="74" w16cid:durableId="1941177979">
    <w:abstractNumId w:val="138"/>
  </w:num>
  <w:num w:numId="75" w16cid:durableId="86773398">
    <w:abstractNumId w:val="33"/>
  </w:num>
  <w:num w:numId="76" w16cid:durableId="1617788516">
    <w:abstractNumId w:val="188"/>
  </w:num>
  <w:num w:numId="77" w16cid:durableId="381641981">
    <w:abstractNumId w:val="196"/>
  </w:num>
  <w:num w:numId="78" w16cid:durableId="844439560">
    <w:abstractNumId w:val="2"/>
  </w:num>
  <w:num w:numId="79" w16cid:durableId="2063627856">
    <w:abstractNumId w:val="63"/>
  </w:num>
  <w:num w:numId="80" w16cid:durableId="1296717057">
    <w:abstractNumId w:val="122"/>
  </w:num>
  <w:num w:numId="81" w16cid:durableId="1962029844">
    <w:abstractNumId w:val="163"/>
  </w:num>
  <w:num w:numId="82" w16cid:durableId="1021203543">
    <w:abstractNumId w:val="182"/>
  </w:num>
  <w:num w:numId="83" w16cid:durableId="847409323">
    <w:abstractNumId w:val="155"/>
  </w:num>
  <w:num w:numId="84" w16cid:durableId="792744893">
    <w:abstractNumId w:val="4"/>
  </w:num>
  <w:num w:numId="85" w16cid:durableId="36980213">
    <w:abstractNumId w:val="141"/>
  </w:num>
  <w:num w:numId="86" w16cid:durableId="353119788">
    <w:abstractNumId w:val="156"/>
  </w:num>
  <w:num w:numId="87" w16cid:durableId="1379354277">
    <w:abstractNumId w:val="164"/>
  </w:num>
  <w:num w:numId="88" w16cid:durableId="1658414051">
    <w:abstractNumId w:val="117"/>
  </w:num>
  <w:num w:numId="89" w16cid:durableId="1244802833">
    <w:abstractNumId w:val="121"/>
  </w:num>
  <w:num w:numId="90" w16cid:durableId="1070079495">
    <w:abstractNumId w:val="41"/>
  </w:num>
  <w:num w:numId="91" w16cid:durableId="430974187">
    <w:abstractNumId w:val="185"/>
  </w:num>
  <w:num w:numId="92" w16cid:durableId="1247034432">
    <w:abstractNumId w:val="93"/>
  </w:num>
  <w:num w:numId="93" w16cid:durableId="361636714">
    <w:abstractNumId w:val="143"/>
  </w:num>
  <w:num w:numId="94" w16cid:durableId="634027099">
    <w:abstractNumId w:val="192"/>
  </w:num>
  <w:num w:numId="95" w16cid:durableId="515387173">
    <w:abstractNumId w:val="153"/>
  </w:num>
  <w:num w:numId="96" w16cid:durableId="1699819783">
    <w:abstractNumId w:val="14"/>
  </w:num>
  <w:num w:numId="97" w16cid:durableId="1781607050">
    <w:abstractNumId w:val="100"/>
  </w:num>
  <w:num w:numId="98" w16cid:durableId="1691685161">
    <w:abstractNumId w:val="0"/>
  </w:num>
  <w:num w:numId="99" w16cid:durableId="1887832107">
    <w:abstractNumId w:val="11"/>
  </w:num>
  <w:num w:numId="100" w16cid:durableId="966932153">
    <w:abstractNumId w:val="54"/>
  </w:num>
  <w:num w:numId="101" w16cid:durableId="1320885514">
    <w:abstractNumId w:val="102"/>
  </w:num>
  <w:num w:numId="102" w16cid:durableId="1222595115">
    <w:abstractNumId w:val="183"/>
  </w:num>
  <w:num w:numId="103" w16cid:durableId="334963084">
    <w:abstractNumId w:val="61"/>
  </w:num>
  <w:num w:numId="104" w16cid:durableId="180821661">
    <w:abstractNumId w:val="89"/>
  </w:num>
  <w:num w:numId="105" w16cid:durableId="679353025">
    <w:abstractNumId w:val="20"/>
  </w:num>
  <w:num w:numId="106" w16cid:durableId="1102457552">
    <w:abstractNumId w:val="60"/>
  </w:num>
  <w:num w:numId="107" w16cid:durableId="1345008964">
    <w:abstractNumId w:val="99"/>
  </w:num>
  <w:num w:numId="108" w16cid:durableId="1537890173">
    <w:abstractNumId w:val="28"/>
  </w:num>
  <w:num w:numId="109" w16cid:durableId="1639145887">
    <w:abstractNumId w:val="167"/>
  </w:num>
  <w:num w:numId="110" w16cid:durableId="606618675">
    <w:abstractNumId w:val="53"/>
  </w:num>
  <w:num w:numId="111" w16cid:durableId="322129821">
    <w:abstractNumId w:val="202"/>
  </w:num>
  <w:num w:numId="112" w16cid:durableId="182480114">
    <w:abstractNumId w:val="108"/>
  </w:num>
  <w:num w:numId="113" w16cid:durableId="1523515665">
    <w:abstractNumId w:val="34"/>
  </w:num>
  <w:num w:numId="114" w16cid:durableId="1947495188">
    <w:abstractNumId w:val="77"/>
  </w:num>
  <w:num w:numId="115" w16cid:durableId="133331611">
    <w:abstractNumId w:val="161"/>
  </w:num>
  <w:num w:numId="116" w16cid:durableId="872117239">
    <w:abstractNumId w:val="35"/>
  </w:num>
  <w:num w:numId="117" w16cid:durableId="839276822">
    <w:abstractNumId w:val="181"/>
  </w:num>
  <w:num w:numId="118" w16cid:durableId="1231112940">
    <w:abstractNumId w:val="186"/>
  </w:num>
  <w:num w:numId="119" w16cid:durableId="1549537815">
    <w:abstractNumId w:val="73"/>
  </w:num>
  <w:num w:numId="120" w16cid:durableId="332297194">
    <w:abstractNumId w:val="91"/>
  </w:num>
  <w:num w:numId="121" w16cid:durableId="310065567">
    <w:abstractNumId w:val="96"/>
  </w:num>
  <w:num w:numId="122" w16cid:durableId="1800956026">
    <w:abstractNumId w:val="162"/>
  </w:num>
  <w:num w:numId="123" w16cid:durableId="114566724">
    <w:abstractNumId w:val="113"/>
  </w:num>
  <w:num w:numId="124" w16cid:durableId="203395">
    <w:abstractNumId w:val="132"/>
  </w:num>
  <w:num w:numId="125" w16cid:durableId="945967836">
    <w:abstractNumId w:val="42"/>
  </w:num>
  <w:num w:numId="126" w16cid:durableId="1421371314">
    <w:abstractNumId w:val="139"/>
  </w:num>
  <w:num w:numId="127" w16cid:durableId="898787083">
    <w:abstractNumId w:val="116"/>
  </w:num>
  <w:num w:numId="128" w16cid:durableId="1822380291">
    <w:abstractNumId w:val="65"/>
  </w:num>
  <w:num w:numId="129" w16cid:durableId="372929504">
    <w:abstractNumId w:val="97"/>
  </w:num>
  <w:num w:numId="130" w16cid:durableId="912619556">
    <w:abstractNumId w:val="140"/>
  </w:num>
  <w:num w:numId="131" w16cid:durableId="1764839781">
    <w:abstractNumId w:val="137"/>
  </w:num>
  <w:num w:numId="132" w16cid:durableId="1106384942">
    <w:abstractNumId w:val="120"/>
  </w:num>
  <w:num w:numId="133" w16cid:durableId="1478718310">
    <w:abstractNumId w:val="145"/>
  </w:num>
  <w:num w:numId="134" w16cid:durableId="829097707">
    <w:abstractNumId w:val="19"/>
  </w:num>
  <w:num w:numId="135" w16cid:durableId="973028265">
    <w:abstractNumId w:val="24"/>
  </w:num>
  <w:num w:numId="136" w16cid:durableId="958147896">
    <w:abstractNumId w:val="160"/>
  </w:num>
  <w:num w:numId="137" w16cid:durableId="519396639">
    <w:abstractNumId w:val="105"/>
  </w:num>
  <w:num w:numId="138" w16cid:durableId="1212770875">
    <w:abstractNumId w:val="39"/>
  </w:num>
  <w:num w:numId="139" w16cid:durableId="815680939">
    <w:abstractNumId w:val="165"/>
  </w:num>
  <w:num w:numId="140" w16cid:durableId="286160667">
    <w:abstractNumId w:val="62"/>
  </w:num>
  <w:num w:numId="141" w16cid:durableId="1917591777">
    <w:abstractNumId w:val="6"/>
  </w:num>
  <w:num w:numId="142" w16cid:durableId="617684691">
    <w:abstractNumId w:val="118"/>
  </w:num>
  <w:num w:numId="143" w16cid:durableId="2052878574">
    <w:abstractNumId w:val="84"/>
  </w:num>
  <w:num w:numId="144" w16cid:durableId="254747186">
    <w:abstractNumId w:val="58"/>
  </w:num>
  <w:num w:numId="145" w16cid:durableId="1321958632">
    <w:abstractNumId w:val="57"/>
  </w:num>
  <w:num w:numId="146" w16cid:durableId="745999883">
    <w:abstractNumId w:val="147"/>
  </w:num>
  <w:num w:numId="147" w16cid:durableId="283384840">
    <w:abstractNumId w:val="49"/>
  </w:num>
  <w:num w:numId="148" w16cid:durableId="694186579">
    <w:abstractNumId w:val="69"/>
  </w:num>
  <w:num w:numId="149" w16cid:durableId="1660229331">
    <w:abstractNumId w:val="124"/>
  </w:num>
  <w:num w:numId="150" w16cid:durableId="987783928">
    <w:abstractNumId w:val="31"/>
  </w:num>
  <w:num w:numId="151" w16cid:durableId="1628462567">
    <w:abstractNumId w:val="55"/>
  </w:num>
  <w:num w:numId="152" w16cid:durableId="287442098">
    <w:abstractNumId w:val="127"/>
  </w:num>
  <w:num w:numId="153" w16cid:durableId="1629627760">
    <w:abstractNumId w:val="194"/>
  </w:num>
  <w:num w:numId="154" w16cid:durableId="610861118">
    <w:abstractNumId w:val="13"/>
  </w:num>
  <w:num w:numId="155" w16cid:durableId="2109036802">
    <w:abstractNumId w:val="200"/>
  </w:num>
  <w:num w:numId="156" w16cid:durableId="1962029598">
    <w:abstractNumId w:val="173"/>
  </w:num>
  <w:num w:numId="157" w16cid:durableId="1477918092">
    <w:abstractNumId w:val="126"/>
  </w:num>
  <w:num w:numId="158" w16cid:durableId="851801743">
    <w:abstractNumId w:val="48"/>
  </w:num>
  <w:num w:numId="159" w16cid:durableId="239871692">
    <w:abstractNumId w:val="71"/>
  </w:num>
  <w:num w:numId="160" w16cid:durableId="107939430">
    <w:abstractNumId w:val="59"/>
  </w:num>
  <w:num w:numId="161" w16cid:durableId="873689832">
    <w:abstractNumId w:val="22"/>
  </w:num>
  <w:num w:numId="162" w16cid:durableId="1733040463">
    <w:abstractNumId w:val="88"/>
  </w:num>
  <w:num w:numId="163" w16cid:durableId="1239630802">
    <w:abstractNumId w:val="45"/>
  </w:num>
  <w:num w:numId="164" w16cid:durableId="1018896760">
    <w:abstractNumId w:val="95"/>
  </w:num>
  <w:num w:numId="165" w16cid:durableId="1560818593">
    <w:abstractNumId w:val="159"/>
  </w:num>
  <w:num w:numId="166" w16cid:durableId="1433623807">
    <w:abstractNumId w:val="148"/>
  </w:num>
  <w:num w:numId="167" w16cid:durableId="1193688124">
    <w:abstractNumId w:val="27"/>
  </w:num>
  <w:num w:numId="168" w16cid:durableId="664011454">
    <w:abstractNumId w:val="177"/>
  </w:num>
  <w:num w:numId="169" w16cid:durableId="208032496">
    <w:abstractNumId w:val="29"/>
  </w:num>
  <w:num w:numId="170" w16cid:durableId="1925916702">
    <w:abstractNumId w:val="131"/>
  </w:num>
  <w:num w:numId="171" w16cid:durableId="1235582333">
    <w:abstractNumId w:val="178"/>
  </w:num>
  <w:num w:numId="172" w16cid:durableId="2104103118">
    <w:abstractNumId w:val="171"/>
  </w:num>
  <w:num w:numId="173" w16cid:durableId="1157841687">
    <w:abstractNumId w:val="32"/>
  </w:num>
  <w:num w:numId="174" w16cid:durableId="579145020">
    <w:abstractNumId w:val="150"/>
  </w:num>
  <w:num w:numId="175" w16cid:durableId="1041398373">
    <w:abstractNumId w:val="111"/>
  </w:num>
  <w:num w:numId="176" w16cid:durableId="586160122">
    <w:abstractNumId w:val="190"/>
  </w:num>
  <w:num w:numId="177" w16cid:durableId="2001545435">
    <w:abstractNumId w:val="26"/>
  </w:num>
  <w:num w:numId="178" w16cid:durableId="1048916621">
    <w:abstractNumId w:val="37"/>
  </w:num>
  <w:num w:numId="179" w16cid:durableId="1451317759">
    <w:abstractNumId w:val="130"/>
  </w:num>
  <w:num w:numId="180" w16cid:durableId="202057466">
    <w:abstractNumId w:val="201"/>
  </w:num>
  <w:num w:numId="181" w16cid:durableId="2090148276">
    <w:abstractNumId w:val="68"/>
  </w:num>
  <w:num w:numId="182" w16cid:durableId="1517115634">
    <w:abstractNumId w:val="198"/>
  </w:num>
  <w:num w:numId="183" w16cid:durableId="1641114755">
    <w:abstractNumId w:val="56"/>
  </w:num>
  <w:num w:numId="184" w16cid:durableId="1972779921">
    <w:abstractNumId w:val="149"/>
  </w:num>
  <w:num w:numId="185" w16cid:durableId="1085422540">
    <w:abstractNumId w:val="87"/>
  </w:num>
  <w:num w:numId="186" w16cid:durableId="1905606282">
    <w:abstractNumId w:val="176"/>
  </w:num>
  <w:num w:numId="187" w16cid:durableId="1559894572">
    <w:abstractNumId w:val="85"/>
  </w:num>
  <w:num w:numId="188" w16cid:durableId="1948195694">
    <w:abstractNumId w:val="30"/>
  </w:num>
  <w:num w:numId="189" w16cid:durableId="1275207582">
    <w:abstractNumId w:val="36"/>
  </w:num>
  <w:num w:numId="190" w16cid:durableId="1863280630">
    <w:abstractNumId w:val="40"/>
  </w:num>
  <w:num w:numId="191" w16cid:durableId="1709524511">
    <w:abstractNumId w:val="136"/>
  </w:num>
  <w:num w:numId="192" w16cid:durableId="230359887">
    <w:abstractNumId w:val="52"/>
  </w:num>
  <w:num w:numId="193" w16cid:durableId="404038383">
    <w:abstractNumId w:val="144"/>
  </w:num>
  <w:num w:numId="194" w16cid:durableId="291442601">
    <w:abstractNumId w:val="10"/>
  </w:num>
  <w:num w:numId="195" w16cid:durableId="1061907058">
    <w:abstractNumId w:val="151"/>
  </w:num>
  <w:num w:numId="196" w16cid:durableId="1508255961">
    <w:abstractNumId w:val="184"/>
  </w:num>
  <w:num w:numId="197" w16cid:durableId="2117481354">
    <w:abstractNumId w:val="175"/>
  </w:num>
  <w:num w:numId="198" w16cid:durableId="1070276509">
    <w:abstractNumId w:val="3"/>
  </w:num>
  <w:num w:numId="199" w16cid:durableId="1443455814">
    <w:abstractNumId w:val="98"/>
  </w:num>
  <w:num w:numId="200" w16cid:durableId="1653172253">
    <w:abstractNumId w:val="114"/>
  </w:num>
  <w:num w:numId="201" w16cid:durableId="1207068015">
    <w:abstractNumId w:val="44"/>
  </w:num>
  <w:num w:numId="202" w16cid:durableId="1480031379">
    <w:abstractNumId w:val="154"/>
  </w:num>
  <w:num w:numId="203" w16cid:durableId="1511794269">
    <w:abstractNumId w:val="16"/>
  </w:num>
  <w:numIdMacAtCleanup w:val="1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C4B"/>
    <w:rsid w:val="00000635"/>
    <w:rsid w:val="00000648"/>
    <w:rsid w:val="0000089C"/>
    <w:rsid w:val="00000A6C"/>
    <w:rsid w:val="00000D56"/>
    <w:rsid w:val="00002F00"/>
    <w:rsid w:val="000036EA"/>
    <w:rsid w:val="00003828"/>
    <w:rsid w:val="00003927"/>
    <w:rsid w:val="00004EE5"/>
    <w:rsid w:val="000054F7"/>
    <w:rsid w:val="00005CD4"/>
    <w:rsid w:val="00005DC1"/>
    <w:rsid w:val="0000612E"/>
    <w:rsid w:val="00006CA4"/>
    <w:rsid w:val="00006D6C"/>
    <w:rsid w:val="0000761B"/>
    <w:rsid w:val="000105ED"/>
    <w:rsid w:val="00010C47"/>
    <w:rsid w:val="00010DF7"/>
    <w:rsid w:val="00011C33"/>
    <w:rsid w:val="00011CC5"/>
    <w:rsid w:val="00011F7D"/>
    <w:rsid w:val="00012CA6"/>
    <w:rsid w:val="00012DFA"/>
    <w:rsid w:val="00012EC8"/>
    <w:rsid w:val="00013318"/>
    <w:rsid w:val="0001332A"/>
    <w:rsid w:val="00013695"/>
    <w:rsid w:val="00013AB0"/>
    <w:rsid w:val="0001432D"/>
    <w:rsid w:val="00014BD4"/>
    <w:rsid w:val="00014D05"/>
    <w:rsid w:val="00014D3E"/>
    <w:rsid w:val="000157BF"/>
    <w:rsid w:val="00016650"/>
    <w:rsid w:val="00016728"/>
    <w:rsid w:val="00016F37"/>
    <w:rsid w:val="0001706D"/>
    <w:rsid w:val="000173B8"/>
    <w:rsid w:val="0001794F"/>
    <w:rsid w:val="000179DD"/>
    <w:rsid w:val="000210EB"/>
    <w:rsid w:val="00021C6F"/>
    <w:rsid w:val="00022015"/>
    <w:rsid w:val="00022133"/>
    <w:rsid w:val="000224BE"/>
    <w:rsid w:val="000230E8"/>
    <w:rsid w:val="000234D5"/>
    <w:rsid w:val="0002430A"/>
    <w:rsid w:val="00024578"/>
    <w:rsid w:val="00024597"/>
    <w:rsid w:val="00024D27"/>
    <w:rsid w:val="0002585C"/>
    <w:rsid w:val="00025B5D"/>
    <w:rsid w:val="000260C6"/>
    <w:rsid w:val="00026F55"/>
    <w:rsid w:val="00027967"/>
    <w:rsid w:val="0002799A"/>
    <w:rsid w:val="000305FB"/>
    <w:rsid w:val="000307AD"/>
    <w:rsid w:val="000307BF"/>
    <w:rsid w:val="00030B9A"/>
    <w:rsid w:val="00030F9D"/>
    <w:rsid w:val="000313D0"/>
    <w:rsid w:val="000316A6"/>
    <w:rsid w:val="0003233A"/>
    <w:rsid w:val="00032E36"/>
    <w:rsid w:val="00033004"/>
    <w:rsid w:val="000331AB"/>
    <w:rsid w:val="000341FE"/>
    <w:rsid w:val="000343E9"/>
    <w:rsid w:val="0003487D"/>
    <w:rsid w:val="00034A59"/>
    <w:rsid w:val="00034C3D"/>
    <w:rsid w:val="00035312"/>
    <w:rsid w:val="0003537D"/>
    <w:rsid w:val="00035E65"/>
    <w:rsid w:val="00036741"/>
    <w:rsid w:val="000367DA"/>
    <w:rsid w:val="000370B7"/>
    <w:rsid w:val="00037761"/>
    <w:rsid w:val="00037C0C"/>
    <w:rsid w:val="00037F45"/>
    <w:rsid w:val="00037F4E"/>
    <w:rsid w:val="000405D4"/>
    <w:rsid w:val="00041232"/>
    <w:rsid w:val="00041626"/>
    <w:rsid w:val="000416B3"/>
    <w:rsid w:val="00041AD9"/>
    <w:rsid w:val="00042B3C"/>
    <w:rsid w:val="0004306E"/>
    <w:rsid w:val="000438D5"/>
    <w:rsid w:val="00043C77"/>
    <w:rsid w:val="00044002"/>
    <w:rsid w:val="0004544B"/>
    <w:rsid w:val="000454D7"/>
    <w:rsid w:val="00045801"/>
    <w:rsid w:val="000467E8"/>
    <w:rsid w:val="000468DF"/>
    <w:rsid w:val="00047330"/>
    <w:rsid w:val="00047D3D"/>
    <w:rsid w:val="000512CE"/>
    <w:rsid w:val="00051672"/>
    <w:rsid w:val="00052B1C"/>
    <w:rsid w:val="00053AF2"/>
    <w:rsid w:val="00054DE8"/>
    <w:rsid w:val="000568D8"/>
    <w:rsid w:val="000569CD"/>
    <w:rsid w:val="0005758C"/>
    <w:rsid w:val="00057EBA"/>
    <w:rsid w:val="000600EA"/>
    <w:rsid w:val="00060AE1"/>
    <w:rsid w:val="00060BC7"/>
    <w:rsid w:val="00061B23"/>
    <w:rsid w:val="00061BFF"/>
    <w:rsid w:val="00061FB1"/>
    <w:rsid w:val="00062279"/>
    <w:rsid w:val="00063279"/>
    <w:rsid w:val="00063C25"/>
    <w:rsid w:val="00063D8C"/>
    <w:rsid w:val="00065428"/>
    <w:rsid w:val="000660DE"/>
    <w:rsid w:val="00066EF4"/>
    <w:rsid w:val="0006721B"/>
    <w:rsid w:val="00067301"/>
    <w:rsid w:val="000676C9"/>
    <w:rsid w:val="00067A5F"/>
    <w:rsid w:val="00067B44"/>
    <w:rsid w:val="00067BF0"/>
    <w:rsid w:val="0007072F"/>
    <w:rsid w:val="00070E75"/>
    <w:rsid w:val="00070F89"/>
    <w:rsid w:val="00071988"/>
    <w:rsid w:val="00071C42"/>
    <w:rsid w:val="00071D89"/>
    <w:rsid w:val="00071D92"/>
    <w:rsid w:val="0007248E"/>
    <w:rsid w:val="00072500"/>
    <w:rsid w:val="000726FE"/>
    <w:rsid w:val="0007381E"/>
    <w:rsid w:val="00074076"/>
    <w:rsid w:val="000749DB"/>
    <w:rsid w:val="00075099"/>
    <w:rsid w:val="000750E3"/>
    <w:rsid w:val="0007517D"/>
    <w:rsid w:val="000757C5"/>
    <w:rsid w:val="00075E96"/>
    <w:rsid w:val="000762A4"/>
    <w:rsid w:val="0007661C"/>
    <w:rsid w:val="00076682"/>
    <w:rsid w:val="00076864"/>
    <w:rsid w:val="00077780"/>
    <w:rsid w:val="00077ED3"/>
    <w:rsid w:val="000801A9"/>
    <w:rsid w:val="00080394"/>
    <w:rsid w:val="00080778"/>
    <w:rsid w:val="00080925"/>
    <w:rsid w:val="0008096C"/>
    <w:rsid w:val="00081595"/>
    <w:rsid w:val="000821F3"/>
    <w:rsid w:val="0008221D"/>
    <w:rsid w:val="0008333A"/>
    <w:rsid w:val="00083416"/>
    <w:rsid w:val="00083F47"/>
    <w:rsid w:val="0008466F"/>
    <w:rsid w:val="000847CC"/>
    <w:rsid w:val="00084883"/>
    <w:rsid w:val="00085358"/>
    <w:rsid w:val="000859C2"/>
    <w:rsid w:val="00085DC9"/>
    <w:rsid w:val="000861F8"/>
    <w:rsid w:val="00086DBE"/>
    <w:rsid w:val="00086F25"/>
    <w:rsid w:val="000877A2"/>
    <w:rsid w:val="00087939"/>
    <w:rsid w:val="000879C2"/>
    <w:rsid w:val="000929E1"/>
    <w:rsid w:val="00092F04"/>
    <w:rsid w:val="0009359F"/>
    <w:rsid w:val="000936EF"/>
    <w:rsid w:val="0009378A"/>
    <w:rsid w:val="00093AE2"/>
    <w:rsid w:val="00093F58"/>
    <w:rsid w:val="000946FF"/>
    <w:rsid w:val="00095037"/>
    <w:rsid w:val="00095AC0"/>
    <w:rsid w:val="00095C13"/>
    <w:rsid w:val="0009614E"/>
    <w:rsid w:val="000969EE"/>
    <w:rsid w:val="00096A62"/>
    <w:rsid w:val="0009772B"/>
    <w:rsid w:val="000A0149"/>
    <w:rsid w:val="000A0969"/>
    <w:rsid w:val="000A0E6C"/>
    <w:rsid w:val="000A0F9C"/>
    <w:rsid w:val="000A1099"/>
    <w:rsid w:val="000A121A"/>
    <w:rsid w:val="000A20C6"/>
    <w:rsid w:val="000A29B2"/>
    <w:rsid w:val="000A2EE3"/>
    <w:rsid w:val="000A462D"/>
    <w:rsid w:val="000A4D33"/>
    <w:rsid w:val="000A54B2"/>
    <w:rsid w:val="000A621D"/>
    <w:rsid w:val="000A6508"/>
    <w:rsid w:val="000A6685"/>
    <w:rsid w:val="000A686E"/>
    <w:rsid w:val="000A697A"/>
    <w:rsid w:val="000A6E2D"/>
    <w:rsid w:val="000A708B"/>
    <w:rsid w:val="000A7588"/>
    <w:rsid w:val="000A767A"/>
    <w:rsid w:val="000A769D"/>
    <w:rsid w:val="000B02F4"/>
    <w:rsid w:val="000B0C57"/>
    <w:rsid w:val="000B2894"/>
    <w:rsid w:val="000B2B77"/>
    <w:rsid w:val="000B32ED"/>
    <w:rsid w:val="000B3AEF"/>
    <w:rsid w:val="000B3ED7"/>
    <w:rsid w:val="000B4187"/>
    <w:rsid w:val="000B505B"/>
    <w:rsid w:val="000B5232"/>
    <w:rsid w:val="000B58CC"/>
    <w:rsid w:val="000B60C6"/>
    <w:rsid w:val="000B6A9D"/>
    <w:rsid w:val="000B770F"/>
    <w:rsid w:val="000C1140"/>
    <w:rsid w:val="000C119E"/>
    <w:rsid w:val="000C13F3"/>
    <w:rsid w:val="000C1A43"/>
    <w:rsid w:val="000C1D19"/>
    <w:rsid w:val="000C2C26"/>
    <w:rsid w:val="000C31FB"/>
    <w:rsid w:val="000C435B"/>
    <w:rsid w:val="000C5072"/>
    <w:rsid w:val="000C5588"/>
    <w:rsid w:val="000C56C9"/>
    <w:rsid w:val="000C585F"/>
    <w:rsid w:val="000C67FB"/>
    <w:rsid w:val="000C6879"/>
    <w:rsid w:val="000C6D87"/>
    <w:rsid w:val="000C6EB3"/>
    <w:rsid w:val="000C7287"/>
    <w:rsid w:val="000C739F"/>
    <w:rsid w:val="000C7F03"/>
    <w:rsid w:val="000D0023"/>
    <w:rsid w:val="000D0848"/>
    <w:rsid w:val="000D0DB9"/>
    <w:rsid w:val="000D1071"/>
    <w:rsid w:val="000D10A2"/>
    <w:rsid w:val="000D139E"/>
    <w:rsid w:val="000D1518"/>
    <w:rsid w:val="000D2192"/>
    <w:rsid w:val="000D247F"/>
    <w:rsid w:val="000D34E9"/>
    <w:rsid w:val="000D4416"/>
    <w:rsid w:val="000D468F"/>
    <w:rsid w:val="000D4690"/>
    <w:rsid w:val="000D51FB"/>
    <w:rsid w:val="000D5232"/>
    <w:rsid w:val="000D5280"/>
    <w:rsid w:val="000D56DB"/>
    <w:rsid w:val="000D6184"/>
    <w:rsid w:val="000D68DF"/>
    <w:rsid w:val="000D7A86"/>
    <w:rsid w:val="000D7B97"/>
    <w:rsid w:val="000E0075"/>
    <w:rsid w:val="000E0CC2"/>
    <w:rsid w:val="000E0FAF"/>
    <w:rsid w:val="000E1266"/>
    <w:rsid w:val="000E176D"/>
    <w:rsid w:val="000E205E"/>
    <w:rsid w:val="000E2490"/>
    <w:rsid w:val="000E2660"/>
    <w:rsid w:val="000E2F11"/>
    <w:rsid w:val="000E3616"/>
    <w:rsid w:val="000E3EC2"/>
    <w:rsid w:val="000E438F"/>
    <w:rsid w:val="000E4EC6"/>
    <w:rsid w:val="000E5648"/>
    <w:rsid w:val="000E56A3"/>
    <w:rsid w:val="000E5BE1"/>
    <w:rsid w:val="000E6F3F"/>
    <w:rsid w:val="000E751A"/>
    <w:rsid w:val="000E7BE8"/>
    <w:rsid w:val="000F209E"/>
    <w:rsid w:val="000F212F"/>
    <w:rsid w:val="000F22D7"/>
    <w:rsid w:val="000F279A"/>
    <w:rsid w:val="000F2A6C"/>
    <w:rsid w:val="000F2D32"/>
    <w:rsid w:val="000F30E7"/>
    <w:rsid w:val="000F384C"/>
    <w:rsid w:val="000F4FE6"/>
    <w:rsid w:val="000F558C"/>
    <w:rsid w:val="000F5AE5"/>
    <w:rsid w:val="000F5AED"/>
    <w:rsid w:val="000F5FE2"/>
    <w:rsid w:val="000F6371"/>
    <w:rsid w:val="000F684A"/>
    <w:rsid w:val="000F7312"/>
    <w:rsid w:val="000F798A"/>
    <w:rsid w:val="000F7F4A"/>
    <w:rsid w:val="00100125"/>
    <w:rsid w:val="00100443"/>
    <w:rsid w:val="001008EB"/>
    <w:rsid w:val="0010107F"/>
    <w:rsid w:val="001018F5"/>
    <w:rsid w:val="00101AB3"/>
    <w:rsid w:val="00102B0B"/>
    <w:rsid w:val="00102B58"/>
    <w:rsid w:val="00102D55"/>
    <w:rsid w:val="00102F9D"/>
    <w:rsid w:val="00103151"/>
    <w:rsid w:val="00103C13"/>
    <w:rsid w:val="0010424C"/>
    <w:rsid w:val="00104515"/>
    <w:rsid w:val="00104ADB"/>
    <w:rsid w:val="0010591F"/>
    <w:rsid w:val="00105D1B"/>
    <w:rsid w:val="00105D61"/>
    <w:rsid w:val="00105E91"/>
    <w:rsid w:val="001062B3"/>
    <w:rsid w:val="00106FC7"/>
    <w:rsid w:val="001072C1"/>
    <w:rsid w:val="001077D5"/>
    <w:rsid w:val="00110119"/>
    <w:rsid w:val="00110736"/>
    <w:rsid w:val="00110D2B"/>
    <w:rsid w:val="00111AB6"/>
    <w:rsid w:val="00112ACA"/>
    <w:rsid w:val="00112B50"/>
    <w:rsid w:val="00113835"/>
    <w:rsid w:val="0011421D"/>
    <w:rsid w:val="00114C48"/>
    <w:rsid w:val="00115044"/>
    <w:rsid w:val="00115AA4"/>
    <w:rsid w:val="00115C59"/>
    <w:rsid w:val="00115CD0"/>
    <w:rsid w:val="00116429"/>
    <w:rsid w:val="00116669"/>
    <w:rsid w:val="00116AA2"/>
    <w:rsid w:val="00116AE6"/>
    <w:rsid w:val="00117C7C"/>
    <w:rsid w:val="00120224"/>
    <w:rsid w:val="0012029A"/>
    <w:rsid w:val="001203EC"/>
    <w:rsid w:val="001205D1"/>
    <w:rsid w:val="001209B9"/>
    <w:rsid w:val="00120AA7"/>
    <w:rsid w:val="00120B85"/>
    <w:rsid w:val="00121A4A"/>
    <w:rsid w:val="00121EC6"/>
    <w:rsid w:val="00122BB2"/>
    <w:rsid w:val="00123677"/>
    <w:rsid w:val="00124135"/>
    <w:rsid w:val="0012486D"/>
    <w:rsid w:val="00124B50"/>
    <w:rsid w:val="00124F67"/>
    <w:rsid w:val="001254F3"/>
    <w:rsid w:val="0012590C"/>
    <w:rsid w:val="001262F2"/>
    <w:rsid w:val="001275AB"/>
    <w:rsid w:val="00127A6E"/>
    <w:rsid w:val="00127BDF"/>
    <w:rsid w:val="001305B6"/>
    <w:rsid w:val="00130D19"/>
    <w:rsid w:val="0013101C"/>
    <w:rsid w:val="00131C1A"/>
    <w:rsid w:val="00133EF9"/>
    <w:rsid w:val="00134125"/>
    <w:rsid w:val="00135880"/>
    <w:rsid w:val="00135D32"/>
    <w:rsid w:val="00135E00"/>
    <w:rsid w:val="001360AE"/>
    <w:rsid w:val="0013684A"/>
    <w:rsid w:val="0013737F"/>
    <w:rsid w:val="00140565"/>
    <w:rsid w:val="001406FF"/>
    <w:rsid w:val="00141320"/>
    <w:rsid w:val="00141863"/>
    <w:rsid w:val="00141B4F"/>
    <w:rsid w:val="0014270F"/>
    <w:rsid w:val="00142B2C"/>
    <w:rsid w:val="0014310C"/>
    <w:rsid w:val="00143DE6"/>
    <w:rsid w:val="0014408F"/>
    <w:rsid w:val="001447C4"/>
    <w:rsid w:val="001451ED"/>
    <w:rsid w:val="00145944"/>
    <w:rsid w:val="00145C3D"/>
    <w:rsid w:val="00145F40"/>
    <w:rsid w:val="001470F2"/>
    <w:rsid w:val="00147589"/>
    <w:rsid w:val="00147AFD"/>
    <w:rsid w:val="00147E97"/>
    <w:rsid w:val="00150274"/>
    <w:rsid w:val="00150EFB"/>
    <w:rsid w:val="0015105B"/>
    <w:rsid w:val="00151342"/>
    <w:rsid w:val="0015215D"/>
    <w:rsid w:val="001526F5"/>
    <w:rsid w:val="00152CD8"/>
    <w:rsid w:val="001553A6"/>
    <w:rsid w:val="001557CB"/>
    <w:rsid w:val="00155F0A"/>
    <w:rsid w:val="001615F1"/>
    <w:rsid w:val="00161988"/>
    <w:rsid w:val="00161AF1"/>
    <w:rsid w:val="001621ED"/>
    <w:rsid w:val="00162BF3"/>
    <w:rsid w:val="00162F96"/>
    <w:rsid w:val="00163A22"/>
    <w:rsid w:val="00163B77"/>
    <w:rsid w:val="001641A9"/>
    <w:rsid w:val="001646EF"/>
    <w:rsid w:val="00164CD6"/>
    <w:rsid w:val="00165F05"/>
    <w:rsid w:val="00166238"/>
    <w:rsid w:val="00166BD3"/>
    <w:rsid w:val="0016752E"/>
    <w:rsid w:val="00167BCA"/>
    <w:rsid w:val="00167CB0"/>
    <w:rsid w:val="00170623"/>
    <w:rsid w:val="00170AB6"/>
    <w:rsid w:val="001710CB"/>
    <w:rsid w:val="00171450"/>
    <w:rsid w:val="0017164A"/>
    <w:rsid w:val="001719AE"/>
    <w:rsid w:val="00171E17"/>
    <w:rsid w:val="00171FBF"/>
    <w:rsid w:val="00172038"/>
    <w:rsid w:val="00172175"/>
    <w:rsid w:val="00172DFC"/>
    <w:rsid w:val="001740D8"/>
    <w:rsid w:val="0017483E"/>
    <w:rsid w:val="001748AF"/>
    <w:rsid w:val="001753A7"/>
    <w:rsid w:val="00176D0D"/>
    <w:rsid w:val="00176F6A"/>
    <w:rsid w:val="00176FA5"/>
    <w:rsid w:val="00177AB0"/>
    <w:rsid w:val="00180B20"/>
    <w:rsid w:val="00180D37"/>
    <w:rsid w:val="00181430"/>
    <w:rsid w:val="00181854"/>
    <w:rsid w:val="00182E20"/>
    <w:rsid w:val="00183BEA"/>
    <w:rsid w:val="00183FA8"/>
    <w:rsid w:val="00184957"/>
    <w:rsid w:val="00184A76"/>
    <w:rsid w:val="00184B58"/>
    <w:rsid w:val="00185C94"/>
    <w:rsid w:val="00185EC4"/>
    <w:rsid w:val="00186237"/>
    <w:rsid w:val="001869FA"/>
    <w:rsid w:val="00186A3C"/>
    <w:rsid w:val="001901F5"/>
    <w:rsid w:val="00190B54"/>
    <w:rsid w:val="001911C0"/>
    <w:rsid w:val="0019197C"/>
    <w:rsid w:val="001919AD"/>
    <w:rsid w:val="00191BDC"/>
    <w:rsid w:val="00191CED"/>
    <w:rsid w:val="00191E21"/>
    <w:rsid w:val="001926D1"/>
    <w:rsid w:val="00192872"/>
    <w:rsid w:val="00192C29"/>
    <w:rsid w:val="001933CB"/>
    <w:rsid w:val="001939D6"/>
    <w:rsid w:val="00193ADE"/>
    <w:rsid w:val="00193ADF"/>
    <w:rsid w:val="00194677"/>
    <w:rsid w:val="00194863"/>
    <w:rsid w:val="001948CC"/>
    <w:rsid w:val="00194B65"/>
    <w:rsid w:val="00194E90"/>
    <w:rsid w:val="001956B5"/>
    <w:rsid w:val="00196644"/>
    <w:rsid w:val="001970C8"/>
    <w:rsid w:val="001973E3"/>
    <w:rsid w:val="001975EC"/>
    <w:rsid w:val="0019763E"/>
    <w:rsid w:val="00197CF0"/>
    <w:rsid w:val="00197E3E"/>
    <w:rsid w:val="001A13FC"/>
    <w:rsid w:val="001A1473"/>
    <w:rsid w:val="001A1A6E"/>
    <w:rsid w:val="001A2D54"/>
    <w:rsid w:val="001A2D7E"/>
    <w:rsid w:val="001A2EFD"/>
    <w:rsid w:val="001A35C8"/>
    <w:rsid w:val="001A39DA"/>
    <w:rsid w:val="001A40FF"/>
    <w:rsid w:val="001A4B3E"/>
    <w:rsid w:val="001A52EE"/>
    <w:rsid w:val="001A5536"/>
    <w:rsid w:val="001A5BE9"/>
    <w:rsid w:val="001A61AF"/>
    <w:rsid w:val="001A7AC3"/>
    <w:rsid w:val="001A7B2D"/>
    <w:rsid w:val="001B0354"/>
    <w:rsid w:val="001B055F"/>
    <w:rsid w:val="001B144F"/>
    <w:rsid w:val="001B1A1B"/>
    <w:rsid w:val="001B21D3"/>
    <w:rsid w:val="001B2686"/>
    <w:rsid w:val="001B2D42"/>
    <w:rsid w:val="001B2F7D"/>
    <w:rsid w:val="001B3BEF"/>
    <w:rsid w:val="001B3E4D"/>
    <w:rsid w:val="001B4672"/>
    <w:rsid w:val="001B46A1"/>
    <w:rsid w:val="001B46AE"/>
    <w:rsid w:val="001B4A0F"/>
    <w:rsid w:val="001B4E2C"/>
    <w:rsid w:val="001B56A4"/>
    <w:rsid w:val="001B5F98"/>
    <w:rsid w:val="001B6027"/>
    <w:rsid w:val="001B605B"/>
    <w:rsid w:val="001B60EC"/>
    <w:rsid w:val="001B61EF"/>
    <w:rsid w:val="001B68AC"/>
    <w:rsid w:val="001B6A05"/>
    <w:rsid w:val="001B6CE1"/>
    <w:rsid w:val="001B76E4"/>
    <w:rsid w:val="001B7900"/>
    <w:rsid w:val="001B7E7E"/>
    <w:rsid w:val="001C04BA"/>
    <w:rsid w:val="001C177C"/>
    <w:rsid w:val="001C1CA2"/>
    <w:rsid w:val="001C25C0"/>
    <w:rsid w:val="001C275D"/>
    <w:rsid w:val="001C381D"/>
    <w:rsid w:val="001C3CC0"/>
    <w:rsid w:val="001C562C"/>
    <w:rsid w:val="001C5BBE"/>
    <w:rsid w:val="001C60D8"/>
    <w:rsid w:val="001C7490"/>
    <w:rsid w:val="001D08F4"/>
    <w:rsid w:val="001D0C96"/>
    <w:rsid w:val="001D192D"/>
    <w:rsid w:val="001D1FD7"/>
    <w:rsid w:val="001D21B5"/>
    <w:rsid w:val="001D28F3"/>
    <w:rsid w:val="001D295B"/>
    <w:rsid w:val="001D29CA"/>
    <w:rsid w:val="001D2A88"/>
    <w:rsid w:val="001D2C19"/>
    <w:rsid w:val="001D2C9D"/>
    <w:rsid w:val="001D316F"/>
    <w:rsid w:val="001D32BC"/>
    <w:rsid w:val="001D34C8"/>
    <w:rsid w:val="001D39DA"/>
    <w:rsid w:val="001D4BBE"/>
    <w:rsid w:val="001D5386"/>
    <w:rsid w:val="001D6139"/>
    <w:rsid w:val="001D6CC2"/>
    <w:rsid w:val="001D6DB4"/>
    <w:rsid w:val="001D73EB"/>
    <w:rsid w:val="001D7DD4"/>
    <w:rsid w:val="001E10AA"/>
    <w:rsid w:val="001E132A"/>
    <w:rsid w:val="001E293E"/>
    <w:rsid w:val="001E2AD5"/>
    <w:rsid w:val="001E2D30"/>
    <w:rsid w:val="001E3822"/>
    <w:rsid w:val="001E3E59"/>
    <w:rsid w:val="001E455A"/>
    <w:rsid w:val="001E46DE"/>
    <w:rsid w:val="001E4B3C"/>
    <w:rsid w:val="001E50E9"/>
    <w:rsid w:val="001E52A7"/>
    <w:rsid w:val="001E68FE"/>
    <w:rsid w:val="001E6FCD"/>
    <w:rsid w:val="001E74BC"/>
    <w:rsid w:val="001E7640"/>
    <w:rsid w:val="001E7B2E"/>
    <w:rsid w:val="001E7F5A"/>
    <w:rsid w:val="001F0390"/>
    <w:rsid w:val="001F08A7"/>
    <w:rsid w:val="001F0D1B"/>
    <w:rsid w:val="001F109A"/>
    <w:rsid w:val="001F2038"/>
    <w:rsid w:val="001F2415"/>
    <w:rsid w:val="001F2A11"/>
    <w:rsid w:val="001F2A44"/>
    <w:rsid w:val="001F2BD9"/>
    <w:rsid w:val="001F2CE4"/>
    <w:rsid w:val="001F301F"/>
    <w:rsid w:val="001F33D3"/>
    <w:rsid w:val="001F341A"/>
    <w:rsid w:val="001F3477"/>
    <w:rsid w:val="001F3B32"/>
    <w:rsid w:val="001F3BE0"/>
    <w:rsid w:val="001F3CDA"/>
    <w:rsid w:val="001F4384"/>
    <w:rsid w:val="001F4AB8"/>
    <w:rsid w:val="001F4E29"/>
    <w:rsid w:val="001F59E8"/>
    <w:rsid w:val="001F5A6D"/>
    <w:rsid w:val="001F65B1"/>
    <w:rsid w:val="001F698F"/>
    <w:rsid w:val="001F6C78"/>
    <w:rsid w:val="001F77D4"/>
    <w:rsid w:val="001F7B1C"/>
    <w:rsid w:val="002002C0"/>
    <w:rsid w:val="002007C9"/>
    <w:rsid w:val="0020184B"/>
    <w:rsid w:val="00201DF4"/>
    <w:rsid w:val="00202540"/>
    <w:rsid w:val="00203C69"/>
    <w:rsid w:val="00204176"/>
    <w:rsid w:val="00204379"/>
    <w:rsid w:val="0020454D"/>
    <w:rsid w:val="00204678"/>
    <w:rsid w:val="00204DDD"/>
    <w:rsid w:val="00204DE5"/>
    <w:rsid w:val="0020507A"/>
    <w:rsid w:val="00205EE7"/>
    <w:rsid w:val="00206187"/>
    <w:rsid w:val="00206E69"/>
    <w:rsid w:val="00207AEC"/>
    <w:rsid w:val="00207B2B"/>
    <w:rsid w:val="00210710"/>
    <w:rsid w:val="00210728"/>
    <w:rsid w:val="00210858"/>
    <w:rsid w:val="002115C6"/>
    <w:rsid w:val="0021184D"/>
    <w:rsid w:val="002119B5"/>
    <w:rsid w:val="00211BB8"/>
    <w:rsid w:val="00211D63"/>
    <w:rsid w:val="00212120"/>
    <w:rsid w:val="002129AE"/>
    <w:rsid w:val="00212BF4"/>
    <w:rsid w:val="0021343B"/>
    <w:rsid w:val="002142EE"/>
    <w:rsid w:val="002149B8"/>
    <w:rsid w:val="00214BCC"/>
    <w:rsid w:val="002153D6"/>
    <w:rsid w:val="002154C0"/>
    <w:rsid w:val="0021550A"/>
    <w:rsid w:val="00216000"/>
    <w:rsid w:val="002174F1"/>
    <w:rsid w:val="00217BE3"/>
    <w:rsid w:val="00217DC9"/>
    <w:rsid w:val="0022130B"/>
    <w:rsid w:val="00221608"/>
    <w:rsid w:val="00221EED"/>
    <w:rsid w:val="00223129"/>
    <w:rsid w:val="002232A0"/>
    <w:rsid w:val="00223E11"/>
    <w:rsid w:val="00224377"/>
    <w:rsid w:val="0022452D"/>
    <w:rsid w:val="00225733"/>
    <w:rsid w:val="00226257"/>
    <w:rsid w:val="00226B85"/>
    <w:rsid w:val="00226F7D"/>
    <w:rsid w:val="00227023"/>
    <w:rsid w:val="00227369"/>
    <w:rsid w:val="00227848"/>
    <w:rsid w:val="00230070"/>
    <w:rsid w:val="00230474"/>
    <w:rsid w:val="002312C8"/>
    <w:rsid w:val="0023141B"/>
    <w:rsid w:val="002318E8"/>
    <w:rsid w:val="00231BF1"/>
    <w:rsid w:val="0023203C"/>
    <w:rsid w:val="002323EE"/>
    <w:rsid w:val="00232458"/>
    <w:rsid w:val="002325C9"/>
    <w:rsid w:val="00232AB1"/>
    <w:rsid w:val="00232C18"/>
    <w:rsid w:val="00232CC5"/>
    <w:rsid w:val="00233713"/>
    <w:rsid w:val="00234699"/>
    <w:rsid w:val="00234B07"/>
    <w:rsid w:val="00235249"/>
    <w:rsid w:val="002357E5"/>
    <w:rsid w:val="00235981"/>
    <w:rsid w:val="00235E40"/>
    <w:rsid w:val="0023651E"/>
    <w:rsid w:val="00236654"/>
    <w:rsid w:val="00236E2E"/>
    <w:rsid w:val="00236E6D"/>
    <w:rsid w:val="00237437"/>
    <w:rsid w:val="002377E6"/>
    <w:rsid w:val="002378F6"/>
    <w:rsid w:val="002379EC"/>
    <w:rsid w:val="00237D10"/>
    <w:rsid w:val="00237DA4"/>
    <w:rsid w:val="00240E9A"/>
    <w:rsid w:val="002415C6"/>
    <w:rsid w:val="0024330D"/>
    <w:rsid w:val="00243B6F"/>
    <w:rsid w:val="00244060"/>
    <w:rsid w:val="00244EDD"/>
    <w:rsid w:val="002453EE"/>
    <w:rsid w:val="00245994"/>
    <w:rsid w:val="002459F1"/>
    <w:rsid w:val="002461CB"/>
    <w:rsid w:val="00246B94"/>
    <w:rsid w:val="002471FC"/>
    <w:rsid w:val="00247A08"/>
    <w:rsid w:val="00247F80"/>
    <w:rsid w:val="0025082B"/>
    <w:rsid w:val="00250AF3"/>
    <w:rsid w:val="00250CEE"/>
    <w:rsid w:val="002518F4"/>
    <w:rsid w:val="00252051"/>
    <w:rsid w:val="002521ED"/>
    <w:rsid w:val="00252349"/>
    <w:rsid w:val="002526F4"/>
    <w:rsid w:val="00252A1F"/>
    <w:rsid w:val="00252D8C"/>
    <w:rsid w:val="00253DD0"/>
    <w:rsid w:val="00254174"/>
    <w:rsid w:val="002545D9"/>
    <w:rsid w:val="00254970"/>
    <w:rsid w:val="00254FB4"/>
    <w:rsid w:val="0025562E"/>
    <w:rsid w:val="00255AAF"/>
    <w:rsid w:val="002563D7"/>
    <w:rsid w:val="002566F4"/>
    <w:rsid w:val="002578E7"/>
    <w:rsid w:val="00260044"/>
    <w:rsid w:val="0026017F"/>
    <w:rsid w:val="00260410"/>
    <w:rsid w:val="0026212E"/>
    <w:rsid w:val="00262BE4"/>
    <w:rsid w:val="00262C1C"/>
    <w:rsid w:val="00262CB6"/>
    <w:rsid w:val="00262FC0"/>
    <w:rsid w:val="00263237"/>
    <w:rsid w:val="00263359"/>
    <w:rsid w:val="0026349A"/>
    <w:rsid w:val="002635DE"/>
    <w:rsid w:val="00263733"/>
    <w:rsid w:val="00263A2F"/>
    <w:rsid w:val="00263A85"/>
    <w:rsid w:val="00264B8E"/>
    <w:rsid w:val="00264C8C"/>
    <w:rsid w:val="00264D4D"/>
    <w:rsid w:val="00264E5A"/>
    <w:rsid w:val="002662D2"/>
    <w:rsid w:val="002666EA"/>
    <w:rsid w:val="002668AD"/>
    <w:rsid w:val="0026691F"/>
    <w:rsid w:val="00266A9E"/>
    <w:rsid w:val="00266BD4"/>
    <w:rsid w:val="00266D4C"/>
    <w:rsid w:val="00267340"/>
    <w:rsid w:val="00267AA4"/>
    <w:rsid w:val="00267B91"/>
    <w:rsid w:val="00267BC3"/>
    <w:rsid w:val="00267BD4"/>
    <w:rsid w:val="00270301"/>
    <w:rsid w:val="002703F1"/>
    <w:rsid w:val="00270C5C"/>
    <w:rsid w:val="00270EA0"/>
    <w:rsid w:val="00271066"/>
    <w:rsid w:val="00271BDC"/>
    <w:rsid w:val="002721A0"/>
    <w:rsid w:val="002725D7"/>
    <w:rsid w:val="00272F73"/>
    <w:rsid w:val="00273353"/>
    <w:rsid w:val="0027370F"/>
    <w:rsid w:val="0027419F"/>
    <w:rsid w:val="0027456A"/>
    <w:rsid w:val="00274860"/>
    <w:rsid w:val="002751E8"/>
    <w:rsid w:val="002755E5"/>
    <w:rsid w:val="00275980"/>
    <w:rsid w:val="00276111"/>
    <w:rsid w:val="00276685"/>
    <w:rsid w:val="00276A8E"/>
    <w:rsid w:val="00276AEB"/>
    <w:rsid w:val="00276D6E"/>
    <w:rsid w:val="00276DD9"/>
    <w:rsid w:val="00281734"/>
    <w:rsid w:val="00281B5B"/>
    <w:rsid w:val="002820B1"/>
    <w:rsid w:val="00282D35"/>
    <w:rsid w:val="00283EA9"/>
    <w:rsid w:val="002848BD"/>
    <w:rsid w:val="0028496E"/>
    <w:rsid w:val="00284D13"/>
    <w:rsid w:val="00284F6D"/>
    <w:rsid w:val="0028530D"/>
    <w:rsid w:val="00285FBB"/>
    <w:rsid w:val="00286465"/>
    <w:rsid w:val="0028688C"/>
    <w:rsid w:val="002870C4"/>
    <w:rsid w:val="0029009F"/>
    <w:rsid w:val="002901A2"/>
    <w:rsid w:val="002913B3"/>
    <w:rsid w:val="00291565"/>
    <w:rsid w:val="00291A5F"/>
    <w:rsid w:val="002921EF"/>
    <w:rsid w:val="00292310"/>
    <w:rsid w:val="002925AB"/>
    <w:rsid w:val="002925BB"/>
    <w:rsid w:val="002926F5"/>
    <w:rsid w:val="0029271E"/>
    <w:rsid w:val="00292A86"/>
    <w:rsid w:val="002931BD"/>
    <w:rsid w:val="00293688"/>
    <w:rsid w:val="002938CB"/>
    <w:rsid w:val="00294B40"/>
    <w:rsid w:val="002953C8"/>
    <w:rsid w:val="002956C8"/>
    <w:rsid w:val="00295960"/>
    <w:rsid w:val="00295F74"/>
    <w:rsid w:val="00296725"/>
    <w:rsid w:val="002968BF"/>
    <w:rsid w:val="00296980"/>
    <w:rsid w:val="00296B6E"/>
    <w:rsid w:val="0029724F"/>
    <w:rsid w:val="00297784"/>
    <w:rsid w:val="00297F22"/>
    <w:rsid w:val="002A0898"/>
    <w:rsid w:val="002A091A"/>
    <w:rsid w:val="002A1073"/>
    <w:rsid w:val="002A1480"/>
    <w:rsid w:val="002A1D6A"/>
    <w:rsid w:val="002A2F6E"/>
    <w:rsid w:val="002A3122"/>
    <w:rsid w:val="002A34CB"/>
    <w:rsid w:val="002A38FC"/>
    <w:rsid w:val="002A3AC4"/>
    <w:rsid w:val="002A4588"/>
    <w:rsid w:val="002A485A"/>
    <w:rsid w:val="002A5825"/>
    <w:rsid w:val="002A5DBC"/>
    <w:rsid w:val="002A66D8"/>
    <w:rsid w:val="002A6DCC"/>
    <w:rsid w:val="002A6EA4"/>
    <w:rsid w:val="002A7DFA"/>
    <w:rsid w:val="002B0497"/>
    <w:rsid w:val="002B0603"/>
    <w:rsid w:val="002B12C9"/>
    <w:rsid w:val="002B1462"/>
    <w:rsid w:val="002B1B3B"/>
    <w:rsid w:val="002B2304"/>
    <w:rsid w:val="002B24C6"/>
    <w:rsid w:val="002B2867"/>
    <w:rsid w:val="002B28F9"/>
    <w:rsid w:val="002B2C56"/>
    <w:rsid w:val="002B3100"/>
    <w:rsid w:val="002B3A56"/>
    <w:rsid w:val="002B3EEF"/>
    <w:rsid w:val="002B4134"/>
    <w:rsid w:val="002B420C"/>
    <w:rsid w:val="002B4F23"/>
    <w:rsid w:val="002B5517"/>
    <w:rsid w:val="002B5B9D"/>
    <w:rsid w:val="002B5E5A"/>
    <w:rsid w:val="002B61D5"/>
    <w:rsid w:val="002B6870"/>
    <w:rsid w:val="002B69D9"/>
    <w:rsid w:val="002B70D6"/>
    <w:rsid w:val="002B73EE"/>
    <w:rsid w:val="002B7BA3"/>
    <w:rsid w:val="002C0872"/>
    <w:rsid w:val="002C0C83"/>
    <w:rsid w:val="002C1480"/>
    <w:rsid w:val="002C1F5C"/>
    <w:rsid w:val="002C217B"/>
    <w:rsid w:val="002C25A6"/>
    <w:rsid w:val="002C2EF3"/>
    <w:rsid w:val="002C2F71"/>
    <w:rsid w:val="002C4533"/>
    <w:rsid w:val="002C47E1"/>
    <w:rsid w:val="002C499C"/>
    <w:rsid w:val="002C4A0F"/>
    <w:rsid w:val="002C4BEE"/>
    <w:rsid w:val="002C55E8"/>
    <w:rsid w:val="002C5B08"/>
    <w:rsid w:val="002C62CF"/>
    <w:rsid w:val="002C646B"/>
    <w:rsid w:val="002C6572"/>
    <w:rsid w:val="002C6A26"/>
    <w:rsid w:val="002C7337"/>
    <w:rsid w:val="002C7BA5"/>
    <w:rsid w:val="002D045F"/>
    <w:rsid w:val="002D0E31"/>
    <w:rsid w:val="002D0E62"/>
    <w:rsid w:val="002D1073"/>
    <w:rsid w:val="002D19AE"/>
    <w:rsid w:val="002D1F60"/>
    <w:rsid w:val="002D2805"/>
    <w:rsid w:val="002D2FBD"/>
    <w:rsid w:val="002D40F0"/>
    <w:rsid w:val="002D4392"/>
    <w:rsid w:val="002D4429"/>
    <w:rsid w:val="002D45E7"/>
    <w:rsid w:val="002D48FE"/>
    <w:rsid w:val="002D4D7E"/>
    <w:rsid w:val="002D4E4E"/>
    <w:rsid w:val="002D4F98"/>
    <w:rsid w:val="002D5383"/>
    <w:rsid w:val="002D69AC"/>
    <w:rsid w:val="002D6A87"/>
    <w:rsid w:val="002D75FA"/>
    <w:rsid w:val="002D7C0F"/>
    <w:rsid w:val="002D7DC1"/>
    <w:rsid w:val="002D7E4D"/>
    <w:rsid w:val="002E02D9"/>
    <w:rsid w:val="002E1D7B"/>
    <w:rsid w:val="002E302D"/>
    <w:rsid w:val="002E39CE"/>
    <w:rsid w:val="002E48B2"/>
    <w:rsid w:val="002E4DBD"/>
    <w:rsid w:val="002E59FE"/>
    <w:rsid w:val="002E6FB0"/>
    <w:rsid w:val="002F0087"/>
    <w:rsid w:val="002F0474"/>
    <w:rsid w:val="002F074D"/>
    <w:rsid w:val="002F0A4D"/>
    <w:rsid w:val="002F1501"/>
    <w:rsid w:val="002F1964"/>
    <w:rsid w:val="002F2427"/>
    <w:rsid w:val="002F2BA0"/>
    <w:rsid w:val="002F3BE5"/>
    <w:rsid w:val="002F3CA1"/>
    <w:rsid w:val="002F4914"/>
    <w:rsid w:val="002F4E37"/>
    <w:rsid w:val="002F5F91"/>
    <w:rsid w:val="002F68FC"/>
    <w:rsid w:val="002F7D4B"/>
    <w:rsid w:val="0030216E"/>
    <w:rsid w:val="00302806"/>
    <w:rsid w:val="00302D86"/>
    <w:rsid w:val="00302DD6"/>
    <w:rsid w:val="00303D20"/>
    <w:rsid w:val="00304536"/>
    <w:rsid w:val="00304645"/>
    <w:rsid w:val="003047C2"/>
    <w:rsid w:val="00304C02"/>
    <w:rsid w:val="00304E3B"/>
    <w:rsid w:val="00304E3F"/>
    <w:rsid w:val="00304F55"/>
    <w:rsid w:val="00305DDF"/>
    <w:rsid w:val="00305FEE"/>
    <w:rsid w:val="00306610"/>
    <w:rsid w:val="00306774"/>
    <w:rsid w:val="00306E96"/>
    <w:rsid w:val="003072C8"/>
    <w:rsid w:val="00307E57"/>
    <w:rsid w:val="0031075A"/>
    <w:rsid w:val="00311713"/>
    <w:rsid w:val="00311E81"/>
    <w:rsid w:val="003122B0"/>
    <w:rsid w:val="00312613"/>
    <w:rsid w:val="003126E7"/>
    <w:rsid w:val="003129E6"/>
    <w:rsid w:val="003130B3"/>
    <w:rsid w:val="00313B13"/>
    <w:rsid w:val="00314643"/>
    <w:rsid w:val="00314C53"/>
    <w:rsid w:val="00315732"/>
    <w:rsid w:val="0031605F"/>
    <w:rsid w:val="00316931"/>
    <w:rsid w:val="00316B77"/>
    <w:rsid w:val="00316D86"/>
    <w:rsid w:val="00316E6E"/>
    <w:rsid w:val="003174D0"/>
    <w:rsid w:val="00317749"/>
    <w:rsid w:val="00317861"/>
    <w:rsid w:val="0032015A"/>
    <w:rsid w:val="00320262"/>
    <w:rsid w:val="003203E5"/>
    <w:rsid w:val="003206A2"/>
    <w:rsid w:val="0032072B"/>
    <w:rsid w:val="00320827"/>
    <w:rsid w:val="00320D11"/>
    <w:rsid w:val="00320E69"/>
    <w:rsid w:val="00320EF3"/>
    <w:rsid w:val="003215B0"/>
    <w:rsid w:val="00321A6A"/>
    <w:rsid w:val="00321B2C"/>
    <w:rsid w:val="00321D03"/>
    <w:rsid w:val="00322574"/>
    <w:rsid w:val="00322630"/>
    <w:rsid w:val="003227C6"/>
    <w:rsid w:val="003229F3"/>
    <w:rsid w:val="0032385E"/>
    <w:rsid w:val="00323CB8"/>
    <w:rsid w:val="003242F2"/>
    <w:rsid w:val="00324D0B"/>
    <w:rsid w:val="003254C3"/>
    <w:rsid w:val="00325FA1"/>
    <w:rsid w:val="003263B7"/>
    <w:rsid w:val="0032695B"/>
    <w:rsid w:val="00327534"/>
    <w:rsid w:val="003275B9"/>
    <w:rsid w:val="00327B04"/>
    <w:rsid w:val="0033017F"/>
    <w:rsid w:val="003309DC"/>
    <w:rsid w:val="003310CD"/>
    <w:rsid w:val="003323E6"/>
    <w:rsid w:val="00333159"/>
    <w:rsid w:val="003335BF"/>
    <w:rsid w:val="003350A2"/>
    <w:rsid w:val="00335140"/>
    <w:rsid w:val="00335E89"/>
    <w:rsid w:val="003360D4"/>
    <w:rsid w:val="003364E1"/>
    <w:rsid w:val="00336B6E"/>
    <w:rsid w:val="00337174"/>
    <w:rsid w:val="0033729F"/>
    <w:rsid w:val="003374A3"/>
    <w:rsid w:val="00340A20"/>
    <w:rsid w:val="00341800"/>
    <w:rsid w:val="00341F12"/>
    <w:rsid w:val="00342197"/>
    <w:rsid w:val="00342264"/>
    <w:rsid w:val="00342380"/>
    <w:rsid w:val="003426AF"/>
    <w:rsid w:val="00342A4D"/>
    <w:rsid w:val="00343589"/>
    <w:rsid w:val="003458F3"/>
    <w:rsid w:val="00345970"/>
    <w:rsid w:val="003459A2"/>
    <w:rsid w:val="00345B80"/>
    <w:rsid w:val="00345B87"/>
    <w:rsid w:val="00345EFE"/>
    <w:rsid w:val="00346209"/>
    <w:rsid w:val="003468B5"/>
    <w:rsid w:val="0034763F"/>
    <w:rsid w:val="003508B5"/>
    <w:rsid w:val="00350A94"/>
    <w:rsid w:val="00350B3B"/>
    <w:rsid w:val="00350CCD"/>
    <w:rsid w:val="003512A7"/>
    <w:rsid w:val="003513EF"/>
    <w:rsid w:val="00351AB4"/>
    <w:rsid w:val="00351D93"/>
    <w:rsid w:val="00351DCB"/>
    <w:rsid w:val="003524FA"/>
    <w:rsid w:val="003528DB"/>
    <w:rsid w:val="0035291F"/>
    <w:rsid w:val="00352A59"/>
    <w:rsid w:val="00352D98"/>
    <w:rsid w:val="003532AC"/>
    <w:rsid w:val="003536CA"/>
    <w:rsid w:val="003539F0"/>
    <w:rsid w:val="00353F63"/>
    <w:rsid w:val="003546AE"/>
    <w:rsid w:val="003556BF"/>
    <w:rsid w:val="00355A5E"/>
    <w:rsid w:val="003562F5"/>
    <w:rsid w:val="003578EB"/>
    <w:rsid w:val="00360213"/>
    <w:rsid w:val="00360834"/>
    <w:rsid w:val="003609DD"/>
    <w:rsid w:val="00360A1A"/>
    <w:rsid w:val="00361B05"/>
    <w:rsid w:val="00361FCA"/>
    <w:rsid w:val="003624D5"/>
    <w:rsid w:val="0036256E"/>
    <w:rsid w:val="00362E99"/>
    <w:rsid w:val="00362ECB"/>
    <w:rsid w:val="00362F7B"/>
    <w:rsid w:val="00364169"/>
    <w:rsid w:val="003643B2"/>
    <w:rsid w:val="00364747"/>
    <w:rsid w:val="003649F9"/>
    <w:rsid w:val="003650BE"/>
    <w:rsid w:val="003654B3"/>
    <w:rsid w:val="00366D2B"/>
    <w:rsid w:val="003671C4"/>
    <w:rsid w:val="003700ED"/>
    <w:rsid w:val="00370403"/>
    <w:rsid w:val="00370D7D"/>
    <w:rsid w:val="00371A4C"/>
    <w:rsid w:val="00372EA2"/>
    <w:rsid w:val="00372FF7"/>
    <w:rsid w:val="0037310A"/>
    <w:rsid w:val="00373F72"/>
    <w:rsid w:val="00374B97"/>
    <w:rsid w:val="00374CF4"/>
    <w:rsid w:val="00374D74"/>
    <w:rsid w:val="003752B9"/>
    <w:rsid w:val="00376514"/>
    <w:rsid w:val="003769FF"/>
    <w:rsid w:val="00376FF2"/>
    <w:rsid w:val="003776B3"/>
    <w:rsid w:val="0038084A"/>
    <w:rsid w:val="00381CF6"/>
    <w:rsid w:val="00381E3F"/>
    <w:rsid w:val="003837AF"/>
    <w:rsid w:val="00383AB1"/>
    <w:rsid w:val="00383B6E"/>
    <w:rsid w:val="00383CB5"/>
    <w:rsid w:val="00383D15"/>
    <w:rsid w:val="003842F8"/>
    <w:rsid w:val="0038492C"/>
    <w:rsid w:val="00384F38"/>
    <w:rsid w:val="00385212"/>
    <w:rsid w:val="00385491"/>
    <w:rsid w:val="003859E5"/>
    <w:rsid w:val="00385B01"/>
    <w:rsid w:val="00385EA9"/>
    <w:rsid w:val="00386545"/>
    <w:rsid w:val="00386AAA"/>
    <w:rsid w:val="00387455"/>
    <w:rsid w:val="0038778E"/>
    <w:rsid w:val="00387CD5"/>
    <w:rsid w:val="00390D70"/>
    <w:rsid w:val="0039144E"/>
    <w:rsid w:val="00391BA2"/>
    <w:rsid w:val="0039217E"/>
    <w:rsid w:val="003924F3"/>
    <w:rsid w:val="003925FC"/>
    <w:rsid w:val="00392775"/>
    <w:rsid w:val="003929A8"/>
    <w:rsid w:val="00392FD2"/>
    <w:rsid w:val="00393217"/>
    <w:rsid w:val="003933E1"/>
    <w:rsid w:val="003933E6"/>
    <w:rsid w:val="00393AE3"/>
    <w:rsid w:val="00394720"/>
    <w:rsid w:val="003949AB"/>
    <w:rsid w:val="00394A05"/>
    <w:rsid w:val="00396D1A"/>
    <w:rsid w:val="003975CC"/>
    <w:rsid w:val="003979CC"/>
    <w:rsid w:val="003A0448"/>
    <w:rsid w:val="003A18E3"/>
    <w:rsid w:val="003A1B00"/>
    <w:rsid w:val="003A282D"/>
    <w:rsid w:val="003A2EAF"/>
    <w:rsid w:val="003A3D05"/>
    <w:rsid w:val="003A45C8"/>
    <w:rsid w:val="003A4653"/>
    <w:rsid w:val="003A55D0"/>
    <w:rsid w:val="003A630B"/>
    <w:rsid w:val="003A63CB"/>
    <w:rsid w:val="003A6D47"/>
    <w:rsid w:val="003A6EF8"/>
    <w:rsid w:val="003A6F47"/>
    <w:rsid w:val="003A76E0"/>
    <w:rsid w:val="003B0AD5"/>
    <w:rsid w:val="003B0B15"/>
    <w:rsid w:val="003B0BE0"/>
    <w:rsid w:val="003B16DB"/>
    <w:rsid w:val="003B1735"/>
    <w:rsid w:val="003B2795"/>
    <w:rsid w:val="003B2FC6"/>
    <w:rsid w:val="003B3967"/>
    <w:rsid w:val="003B3B6D"/>
    <w:rsid w:val="003B3BFC"/>
    <w:rsid w:val="003B3FF7"/>
    <w:rsid w:val="003B402E"/>
    <w:rsid w:val="003B41F9"/>
    <w:rsid w:val="003B462C"/>
    <w:rsid w:val="003B4F03"/>
    <w:rsid w:val="003B55E2"/>
    <w:rsid w:val="003B5DD9"/>
    <w:rsid w:val="003B625A"/>
    <w:rsid w:val="003B68B9"/>
    <w:rsid w:val="003B6A2C"/>
    <w:rsid w:val="003B6B52"/>
    <w:rsid w:val="003B6FC1"/>
    <w:rsid w:val="003B718F"/>
    <w:rsid w:val="003B7DC2"/>
    <w:rsid w:val="003B7EAA"/>
    <w:rsid w:val="003C0A29"/>
    <w:rsid w:val="003C0A49"/>
    <w:rsid w:val="003C191F"/>
    <w:rsid w:val="003C25E9"/>
    <w:rsid w:val="003C2FF1"/>
    <w:rsid w:val="003C41E2"/>
    <w:rsid w:val="003C45B8"/>
    <w:rsid w:val="003C473A"/>
    <w:rsid w:val="003C48BF"/>
    <w:rsid w:val="003C490C"/>
    <w:rsid w:val="003C4B53"/>
    <w:rsid w:val="003C5035"/>
    <w:rsid w:val="003C50B1"/>
    <w:rsid w:val="003C52F4"/>
    <w:rsid w:val="003C5A37"/>
    <w:rsid w:val="003C662D"/>
    <w:rsid w:val="003C6D48"/>
    <w:rsid w:val="003C7047"/>
    <w:rsid w:val="003C78E7"/>
    <w:rsid w:val="003C793A"/>
    <w:rsid w:val="003C7943"/>
    <w:rsid w:val="003D01A9"/>
    <w:rsid w:val="003D0AD9"/>
    <w:rsid w:val="003D11F3"/>
    <w:rsid w:val="003D13A8"/>
    <w:rsid w:val="003D22BE"/>
    <w:rsid w:val="003D23A2"/>
    <w:rsid w:val="003D24B8"/>
    <w:rsid w:val="003D3742"/>
    <w:rsid w:val="003D381B"/>
    <w:rsid w:val="003D4188"/>
    <w:rsid w:val="003D43B8"/>
    <w:rsid w:val="003D466A"/>
    <w:rsid w:val="003D4EE1"/>
    <w:rsid w:val="003D52E1"/>
    <w:rsid w:val="003D5504"/>
    <w:rsid w:val="003D6316"/>
    <w:rsid w:val="003D64A4"/>
    <w:rsid w:val="003D6652"/>
    <w:rsid w:val="003D6930"/>
    <w:rsid w:val="003D6C57"/>
    <w:rsid w:val="003D6CA1"/>
    <w:rsid w:val="003D73BC"/>
    <w:rsid w:val="003D76C1"/>
    <w:rsid w:val="003E00DE"/>
    <w:rsid w:val="003E0C6A"/>
    <w:rsid w:val="003E0D9F"/>
    <w:rsid w:val="003E0E91"/>
    <w:rsid w:val="003E1061"/>
    <w:rsid w:val="003E15DB"/>
    <w:rsid w:val="003E1892"/>
    <w:rsid w:val="003E226A"/>
    <w:rsid w:val="003E2BCF"/>
    <w:rsid w:val="003E2E1A"/>
    <w:rsid w:val="003E3446"/>
    <w:rsid w:val="003E361E"/>
    <w:rsid w:val="003E3867"/>
    <w:rsid w:val="003E3B24"/>
    <w:rsid w:val="003E41D7"/>
    <w:rsid w:val="003E42C6"/>
    <w:rsid w:val="003E50E9"/>
    <w:rsid w:val="003E5A36"/>
    <w:rsid w:val="003E5C3D"/>
    <w:rsid w:val="003E5C73"/>
    <w:rsid w:val="003E750A"/>
    <w:rsid w:val="003E7A98"/>
    <w:rsid w:val="003F02B4"/>
    <w:rsid w:val="003F0ADE"/>
    <w:rsid w:val="003F160B"/>
    <w:rsid w:val="003F17AE"/>
    <w:rsid w:val="003F18A5"/>
    <w:rsid w:val="003F1AAF"/>
    <w:rsid w:val="003F1E18"/>
    <w:rsid w:val="003F1E6B"/>
    <w:rsid w:val="003F20E1"/>
    <w:rsid w:val="003F32A3"/>
    <w:rsid w:val="003F35BE"/>
    <w:rsid w:val="003F3754"/>
    <w:rsid w:val="003F384D"/>
    <w:rsid w:val="003F3E68"/>
    <w:rsid w:val="003F3F8A"/>
    <w:rsid w:val="003F46DD"/>
    <w:rsid w:val="003F50D2"/>
    <w:rsid w:val="003F59A4"/>
    <w:rsid w:val="003F5EB6"/>
    <w:rsid w:val="003F62AA"/>
    <w:rsid w:val="003F6C27"/>
    <w:rsid w:val="003F703B"/>
    <w:rsid w:val="003F7350"/>
    <w:rsid w:val="003F74D4"/>
    <w:rsid w:val="003F7A94"/>
    <w:rsid w:val="003F7F33"/>
    <w:rsid w:val="003F7FF0"/>
    <w:rsid w:val="00400035"/>
    <w:rsid w:val="004008E0"/>
    <w:rsid w:val="0040110B"/>
    <w:rsid w:val="00401159"/>
    <w:rsid w:val="004019BD"/>
    <w:rsid w:val="004029CC"/>
    <w:rsid w:val="00402D51"/>
    <w:rsid w:val="00402DE1"/>
    <w:rsid w:val="00403032"/>
    <w:rsid w:val="00403101"/>
    <w:rsid w:val="00403155"/>
    <w:rsid w:val="00403F7A"/>
    <w:rsid w:val="00404672"/>
    <w:rsid w:val="004050DD"/>
    <w:rsid w:val="00405209"/>
    <w:rsid w:val="004054DA"/>
    <w:rsid w:val="00405D5E"/>
    <w:rsid w:val="00405F05"/>
    <w:rsid w:val="00406058"/>
    <w:rsid w:val="00406DF9"/>
    <w:rsid w:val="00406F29"/>
    <w:rsid w:val="00406F8C"/>
    <w:rsid w:val="004077F5"/>
    <w:rsid w:val="0041038C"/>
    <w:rsid w:val="00410A62"/>
    <w:rsid w:val="0041182D"/>
    <w:rsid w:val="00411C98"/>
    <w:rsid w:val="0041284E"/>
    <w:rsid w:val="00413552"/>
    <w:rsid w:val="0041386C"/>
    <w:rsid w:val="00414550"/>
    <w:rsid w:val="0041456D"/>
    <w:rsid w:val="00414A38"/>
    <w:rsid w:val="004154F3"/>
    <w:rsid w:val="004157AA"/>
    <w:rsid w:val="00415FF1"/>
    <w:rsid w:val="00416D0A"/>
    <w:rsid w:val="004173AA"/>
    <w:rsid w:val="00417870"/>
    <w:rsid w:val="00417C4D"/>
    <w:rsid w:val="00421631"/>
    <w:rsid w:val="00421D4B"/>
    <w:rsid w:val="004227A0"/>
    <w:rsid w:val="00422B67"/>
    <w:rsid w:val="00422DA6"/>
    <w:rsid w:val="0042399F"/>
    <w:rsid w:val="004245FC"/>
    <w:rsid w:val="0042517E"/>
    <w:rsid w:val="00425497"/>
    <w:rsid w:val="004255EC"/>
    <w:rsid w:val="00425AB7"/>
    <w:rsid w:val="00426CD0"/>
    <w:rsid w:val="00426F73"/>
    <w:rsid w:val="0042788A"/>
    <w:rsid w:val="00427DA1"/>
    <w:rsid w:val="004317B6"/>
    <w:rsid w:val="00431D6A"/>
    <w:rsid w:val="004323DE"/>
    <w:rsid w:val="004327B0"/>
    <w:rsid w:val="00432B3D"/>
    <w:rsid w:val="00433679"/>
    <w:rsid w:val="00433AB6"/>
    <w:rsid w:val="00434198"/>
    <w:rsid w:val="004344C2"/>
    <w:rsid w:val="0043451A"/>
    <w:rsid w:val="00435558"/>
    <w:rsid w:val="004357F7"/>
    <w:rsid w:val="00436742"/>
    <w:rsid w:val="00436854"/>
    <w:rsid w:val="00436ACD"/>
    <w:rsid w:val="00436B6B"/>
    <w:rsid w:val="00436BFE"/>
    <w:rsid w:val="00436CF8"/>
    <w:rsid w:val="00437A49"/>
    <w:rsid w:val="0044012B"/>
    <w:rsid w:val="00440224"/>
    <w:rsid w:val="00440C85"/>
    <w:rsid w:val="00440CEA"/>
    <w:rsid w:val="00440F27"/>
    <w:rsid w:val="004413F5"/>
    <w:rsid w:val="00441EBD"/>
    <w:rsid w:val="00442C17"/>
    <w:rsid w:val="00444460"/>
    <w:rsid w:val="00444556"/>
    <w:rsid w:val="0044501B"/>
    <w:rsid w:val="004453B3"/>
    <w:rsid w:val="00445722"/>
    <w:rsid w:val="00445DAE"/>
    <w:rsid w:val="004465E1"/>
    <w:rsid w:val="00446963"/>
    <w:rsid w:val="004469E8"/>
    <w:rsid w:val="00447200"/>
    <w:rsid w:val="004477BA"/>
    <w:rsid w:val="00447956"/>
    <w:rsid w:val="00450513"/>
    <w:rsid w:val="004508EA"/>
    <w:rsid w:val="0045113F"/>
    <w:rsid w:val="00451B57"/>
    <w:rsid w:val="00452A5E"/>
    <w:rsid w:val="0045357E"/>
    <w:rsid w:val="00453A0E"/>
    <w:rsid w:val="00455514"/>
    <w:rsid w:val="00455523"/>
    <w:rsid w:val="004565CF"/>
    <w:rsid w:val="00456AA9"/>
    <w:rsid w:val="00457356"/>
    <w:rsid w:val="00457433"/>
    <w:rsid w:val="004601B0"/>
    <w:rsid w:val="0046037D"/>
    <w:rsid w:val="00460626"/>
    <w:rsid w:val="00461AEB"/>
    <w:rsid w:val="00462ACB"/>
    <w:rsid w:val="004630E1"/>
    <w:rsid w:val="00463504"/>
    <w:rsid w:val="00463A12"/>
    <w:rsid w:val="00463E7B"/>
    <w:rsid w:val="00463E83"/>
    <w:rsid w:val="00463F72"/>
    <w:rsid w:val="00464509"/>
    <w:rsid w:val="0046498D"/>
    <w:rsid w:val="004654B9"/>
    <w:rsid w:val="00465B34"/>
    <w:rsid w:val="004663E5"/>
    <w:rsid w:val="00466460"/>
    <w:rsid w:val="004666DC"/>
    <w:rsid w:val="00466AB0"/>
    <w:rsid w:val="00467522"/>
    <w:rsid w:val="00467C18"/>
    <w:rsid w:val="0047110C"/>
    <w:rsid w:val="004713CE"/>
    <w:rsid w:val="004715A3"/>
    <w:rsid w:val="00471B7C"/>
    <w:rsid w:val="00471CC0"/>
    <w:rsid w:val="00472717"/>
    <w:rsid w:val="00472C16"/>
    <w:rsid w:val="0047324F"/>
    <w:rsid w:val="00473294"/>
    <w:rsid w:val="00473B45"/>
    <w:rsid w:val="00473EA8"/>
    <w:rsid w:val="00474486"/>
    <w:rsid w:val="00475938"/>
    <w:rsid w:val="00475E64"/>
    <w:rsid w:val="00476501"/>
    <w:rsid w:val="0047662E"/>
    <w:rsid w:val="004769C4"/>
    <w:rsid w:val="00476B37"/>
    <w:rsid w:val="00477DE8"/>
    <w:rsid w:val="004801E2"/>
    <w:rsid w:val="004802E7"/>
    <w:rsid w:val="00480D28"/>
    <w:rsid w:val="00480E6E"/>
    <w:rsid w:val="004823E1"/>
    <w:rsid w:val="004824B6"/>
    <w:rsid w:val="00482757"/>
    <w:rsid w:val="00482ABC"/>
    <w:rsid w:val="00482D53"/>
    <w:rsid w:val="004834D4"/>
    <w:rsid w:val="004836E9"/>
    <w:rsid w:val="00484313"/>
    <w:rsid w:val="00484807"/>
    <w:rsid w:val="0048498F"/>
    <w:rsid w:val="00484EBB"/>
    <w:rsid w:val="00484FEA"/>
    <w:rsid w:val="00485052"/>
    <w:rsid w:val="00485231"/>
    <w:rsid w:val="00485393"/>
    <w:rsid w:val="004855EF"/>
    <w:rsid w:val="0048634E"/>
    <w:rsid w:val="004863B1"/>
    <w:rsid w:val="00486490"/>
    <w:rsid w:val="0048721C"/>
    <w:rsid w:val="0049002D"/>
    <w:rsid w:val="00490B17"/>
    <w:rsid w:val="00490BF1"/>
    <w:rsid w:val="00491073"/>
    <w:rsid w:val="004915DE"/>
    <w:rsid w:val="00491D47"/>
    <w:rsid w:val="00492DBF"/>
    <w:rsid w:val="004948DF"/>
    <w:rsid w:val="00495EFF"/>
    <w:rsid w:val="004969D7"/>
    <w:rsid w:val="00496BB6"/>
    <w:rsid w:val="00496FB6"/>
    <w:rsid w:val="004970FF"/>
    <w:rsid w:val="004A0245"/>
    <w:rsid w:val="004A072B"/>
    <w:rsid w:val="004A0E2F"/>
    <w:rsid w:val="004A164C"/>
    <w:rsid w:val="004A20A9"/>
    <w:rsid w:val="004A29F1"/>
    <w:rsid w:val="004A2EB8"/>
    <w:rsid w:val="004A34CD"/>
    <w:rsid w:val="004A4E78"/>
    <w:rsid w:val="004A50A8"/>
    <w:rsid w:val="004A5E0B"/>
    <w:rsid w:val="004A7048"/>
    <w:rsid w:val="004A7169"/>
    <w:rsid w:val="004A78A1"/>
    <w:rsid w:val="004B02DE"/>
    <w:rsid w:val="004B1E07"/>
    <w:rsid w:val="004B1F9A"/>
    <w:rsid w:val="004B24E5"/>
    <w:rsid w:val="004B26DC"/>
    <w:rsid w:val="004B31F2"/>
    <w:rsid w:val="004B3390"/>
    <w:rsid w:val="004B36AD"/>
    <w:rsid w:val="004B3B68"/>
    <w:rsid w:val="004B5E62"/>
    <w:rsid w:val="004B60E8"/>
    <w:rsid w:val="004B656E"/>
    <w:rsid w:val="004B667B"/>
    <w:rsid w:val="004C0060"/>
    <w:rsid w:val="004C03D1"/>
    <w:rsid w:val="004C0D36"/>
    <w:rsid w:val="004C0D8E"/>
    <w:rsid w:val="004C3E28"/>
    <w:rsid w:val="004C41B2"/>
    <w:rsid w:val="004C46E3"/>
    <w:rsid w:val="004C49F0"/>
    <w:rsid w:val="004C4ADD"/>
    <w:rsid w:val="004C4D4C"/>
    <w:rsid w:val="004C4F4C"/>
    <w:rsid w:val="004C50A5"/>
    <w:rsid w:val="004C574E"/>
    <w:rsid w:val="004C57E8"/>
    <w:rsid w:val="004C622B"/>
    <w:rsid w:val="004C6B32"/>
    <w:rsid w:val="004C73B0"/>
    <w:rsid w:val="004D050C"/>
    <w:rsid w:val="004D0686"/>
    <w:rsid w:val="004D0BDB"/>
    <w:rsid w:val="004D1C52"/>
    <w:rsid w:val="004D22EF"/>
    <w:rsid w:val="004D2618"/>
    <w:rsid w:val="004D26A8"/>
    <w:rsid w:val="004D29E4"/>
    <w:rsid w:val="004D32EE"/>
    <w:rsid w:val="004D4F6C"/>
    <w:rsid w:val="004D5055"/>
    <w:rsid w:val="004D50BE"/>
    <w:rsid w:val="004D598E"/>
    <w:rsid w:val="004D5B55"/>
    <w:rsid w:val="004D5E1F"/>
    <w:rsid w:val="004D5F34"/>
    <w:rsid w:val="004D5FD8"/>
    <w:rsid w:val="004D60BE"/>
    <w:rsid w:val="004D67F2"/>
    <w:rsid w:val="004D683A"/>
    <w:rsid w:val="004D6B57"/>
    <w:rsid w:val="004D6E8E"/>
    <w:rsid w:val="004D73C7"/>
    <w:rsid w:val="004D765D"/>
    <w:rsid w:val="004D7A52"/>
    <w:rsid w:val="004D7AF9"/>
    <w:rsid w:val="004D7FAA"/>
    <w:rsid w:val="004E1D97"/>
    <w:rsid w:val="004E20A2"/>
    <w:rsid w:val="004E2590"/>
    <w:rsid w:val="004E301C"/>
    <w:rsid w:val="004E3081"/>
    <w:rsid w:val="004E3147"/>
    <w:rsid w:val="004E392E"/>
    <w:rsid w:val="004E3E7E"/>
    <w:rsid w:val="004E47EE"/>
    <w:rsid w:val="004E4A10"/>
    <w:rsid w:val="004E4ACB"/>
    <w:rsid w:val="004E5494"/>
    <w:rsid w:val="004E61DE"/>
    <w:rsid w:val="004E656E"/>
    <w:rsid w:val="004E6903"/>
    <w:rsid w:val="004E6AA2"/>
    <w:rsid w:val="004E6DEC"/>
    <w:rsid w:val="004E75FC"/>
    <w:rsid w:val="004E7942"/>
    <w:rsid w:val="004F02A0"/>
    <w:rsid w:val="004F0493"/>
    <w:rsid w:val="004F0CA1"/>
    <w:rsid w:val="004F2060"/>
    <w:rsid w:val="004F20E4"/>
    <w:rsid w:val="004F2353"/>
    <w:rsid w:val="004F24CC"/>
    <w:rsid w:val="004F2A8F"/>
    <w:rsid w:val="004F48B6"/>
    <w:rsid w:val="004F5226"/>
    <w:rsid w:val="004F558B"/>
    <w:rsid w:val="004F5A2B"/>
    <w:rsid w:val="004F5EEA"/>
    <w:rsid w:val="004F7019"/>
    <w:rsid w:val="004F7738"/>
    <w:rsid w:val="004F7C7A"/>
    <w:rsid w:val="004F7DAA"/>
    <w:rsid w:val="004F7DE3"/>
    <w:rsid w:val="00500077"/>
    <w:rsid w:val="0050067A"/>
    <w:rsid w:val="00500729"/>
    <w:rsid w:val="0050082C"/>
    <w:rsid w:val="00501025"/>
    <w:rsid w:val="0050125D"/>
    <w:rsid w:val="005018F4"/>
    <w:rsid w:val="00501D1A"/>
    <w:rsid w:val="00501F60"/>
    <w:rsid w:val="0050204E"/>
    <w:rsid w:val="005031DB"/>
    <w:rsid w:val="0050393B"/>
    <w:rsid w:val="00503EFB"/>
    <w:rsid w:val="00504662"/>
    <w:rsid w:val="00504912"/>
    <w:rsid w:val="005054CA"/>
    <w:rsid w:val="00506F77"/>
    <w:rsid w:val="005077C4"/>
    <w:rsid w:val="00507FF0"/>
    <w:rsid w:val="00510509"/>
    <w:rsid w:val="00510A81"/>
    <w:rsid w:val="00510BED"/>
    <w:rsid w:val="00510D52"/>
    <w:rsid w:val="00510EB8"/>
    <w:rsid w:val="005113D1"/>
    <w:rsid w:val="00511E23"/>
    <w:rsid w:val="00511EF1"/>
    <w:rsid w:val="0051253D"/>
    <w:rsid w:val="00512BAD"/>
    <w:rsid w:val="00513E50"/>
    <w:rsid w:val="005140F6"/>
    <w:rsid w:val="005149A8"/>
    <w:rsid w:val="00514FCE"/>
    <w:rsid w:val="00515223"/>
    <w:rsid w:val="0051551D"/>
    <w:rsid w:val="00515A2C"/>
    <w:rsid w:val="00515B6C"/>
    <w:rsid w:val="005167F3"/>
    <w:rsid w:val="00516CA1"/>
    <w:rsid w:val="00516D24"/>
    <w:rsid w:val="00516E5D"/>
    <w:rsid w:val="00517DEC"/>
    <w:rsid w:val="00517EDC"/>
    <w:rsid w:val="00520BCF"/>
    <w:rsid w:val="0052118A"/>
    <w:rsid w:val="0052146C"/>
    <w:rsid w:val="0052155A"/>
    <w:rsid w:val="00522F92"/>
    <w:rsid w:val="00523668"/>
    <w:rsid w:val="00524379"/>
    <w:rsid w:val="00524D07"/>
    <w:rsid w:val="00524F65"/>
    <w:rsid w:val="005250E2"/>
    <w:rsid w:val="0052527E"/>
    <w:rsid w:val="00525776"/>
    <w:rsid w:val="005257A9"/>
    <w:rsid w:val="0052602A"/>
    <w:rsid w:val="005264C7"/>
    <w:rsid w:val="005265FD"/>
    <w:rsid w:val="00526B28"/>
    <w:rsid w:val="00526DDF"/>
    <w:rsid w:val="00526F90"/>
    <w:rsid w:val="005271E7"/>
    <w:rsid w:val="00527470"/>
    <w:rsid w:val="00527ABD"/>
    <w:rsid w:val="00530326"/>
    <w:rsid w:val="00531E5E"/>
    <w:rsid w:val="00532B9D"/>
    <w:rsid w:val="00532C90"/>
    <w:rsid w:val="00532D26"/>
    <w:rsid w:val="00532FC2"/>
    <w:rsid w:val="00533193"/>
    <w:rsid w:val="0053612A"/>
    <w:rsid w:val="0053639F"/>
    <w:rsid w:val="0053715F"/>
    <w:rsid w:val="00537679"/>
    <w:rsid w:val="00540102"/>
    <w:rsid w:val="00540365"/>
    <w:rsid w:val="0054062C"/>
    <w:rsid w:val="00540826"/>
    <w:rsid w:val="005408E2"/>
    <w:rsid w:val="00540905"/>
    <w:rsid w:val="00541B6F"/>
    <w:rsid w:val="00541C6F"/>
    <w:rsid w:val="00543021"/>
    <w:rsid w:val="005432D7"/>
    <w:rsid w:val="00543F22"/>
    <w:rsid w:val="0054401D"/>
    <w:rsid w:val="00544599"/>
    <w:rsid w:val="00544D92"/>
    <w:rsid w:val="005475E4"/>
    <w:rsid w:val="005500FC"/>
    <w:rsid w:val="00550CE6"/>
    <w:rsid w:val="00552647"/>
    <w:rsid w:val="00552A6E"/>
    <w:rsid w:val="00552D12"/>
    <w:rsid w:val="005530C3"/>
    <w:rsid w:val="005539C2"/>
    <w:rsid w:val="00553C0F"/>
    <w:rsid w:val="00553DE6"/>
    <w:rsid w:val="00554C2D"/>
    <w:rsid w:val="00555443"/>
    <w:rsid w:val="00556589"/>
    <w:rsid w:val="0055683B"/>
    <w:rsid w:val="00556ABA"/>
    <w:rsid w:val="00556B9D"/>
    <w:rsid w:val="00557107"/>
    <w:rsid w:val="00557155"/>
    <w:rsid w:val="0055730F"/>
    <w:rsid w:val="00557CE1"/>
    <w:rsid w:val="00557FE3"/>
    <w:rsid w:val="00561ACA"/>
    <w:rsid w:val="00561DE0"/>
    <w:rsid w:val="0056203A"/>
    <w:rsid w:val="00562393"/>
    <w:rsid w:val="005637F0"/>
    <w:rsid w:val="00563B44"/>
    <w:rsid w:val="00564932"/>
    <w:rsid w:val="0056494A"/>
    <w:rsid w:val="00564A22"/>
    <w:rsid w:val="00565617"/>
    <w:rsid w:val="005656C3"/>
    <w:rsid w:val="0056616A"/>
    <w:rsid w:val="0056677B"/>
    <w:rsid w:val="0056692D"/>
    <w:rsid w:val="00566F80"/>
    <w:rsid w:val="00567B5E"/>
    <w:rsid w:val="00570AFD"/>
    <w:rsid w:val="00570B16"/>
    <w:rsid w:val="00571343"/>
    <w:rsid w:val="005713ED"/>
    <w:rsid w:val="00571680"/>
    <w:rsid w:val="00571FA0"/>
    <w:rsid w:val="00572189"/>
    <w:rsid w:val="00572B06"/>
    <w:rsid w:val="00572DC4"/>
    <w:rsid w:val="00573942"/>
    <w:rsid w:val="00573DE2"/>
    <w:rsid w:val="00575D2C"/>
    <w:rsid w:val="00576EFD"/>
    <w:rsid w:val="00577053"/>
    <w:rsid w:val="00577157"/>
    <w:rsid w:val="005773AC"/>
    <w:rsid w:val="0057797B"/>
    <w:rsid w:val="00577CF8"/>
    <w:rsid w:val="00580311"/>
    <w:rsid w:val="00580314"/>
    <w:rsid w:val="00580345"/>
    <w:rsid w:val="005805FF"/>
    <w:rsid w:val="00580874"/>
    <w:rsid w:val="00580F88"/>
    <w:rsid w:val="00581879"/>
    <w:rsid w:val="00582135"/>
    <w:rsid w:val="005824A7"/>
    <w:rsid w:val="005828F5"/>
    <w:rsid w:val="0058313B"/>
    <w:rsid w:val="005837AF"/>
    <w:rsid w:val="00583873"/>
    <w:rsid w:val="005839B9"/>
    <w:rsid w:val="005839E5"/>
    <w:rsid w:val="00583C5C"/>
    <w:rsid w:val="00583DA1"/>
    <w:rsid w:val="00583E4A"/>
    <w:rsid w:val="005851B6"/>
    <w:rsid w:val="00585A23"/>
    <w:rsid w:val="00585B1F"/>
    <w:rsid w:val="00585B48"/>
    <w:rsid w:val="00585E5D"/>
    <w:rsid w:val="005862BD"/>
    <w:rsid w:val="00586CA0"/>
    <w:rsid w:val="00587BAA"/>
    <w:rsid w:val="00590877"/>
    <w:rsid w:val="00591A74"/>
    <w:rsid w:val="00592050"/>
    <w:rsid w:val="00592053"/>
    <w:rsid w:val="00592395"/>
    <w:rsid w:val="00592446"/>
    <w:rsid w:val="00592708"/>
    <w:rsid w:val="005928F3"/>
    <w:rsid w:val="00592ABE"/>
    <w:rsid w:val="00592BD1"/>
    <w:rsid w:val="005931B6"/>
    <w:rsid w:val="005936FE"/>
    <w:rsid w:val="00593888"/>
    <w:rsid w:val="005938EF"/>
    <w:rsid w:val="00593AB3"/>
    <w:rsid w:val="00593ACD"/>
    <w:rsid w:val="005948EA"/>
    <w:rsid w:val="00594915"/>
    <w:rsid w:val="00594A9C"/>
    <w:rsid w:val="00594C66"/>
    <w:rsid w:val="005957A2"/>
    <w:rsid w:val="005958CB"/>
    <w:rsid w:val="005960D6"/>
    <w:rsid w:val="0059751E"/>
    <w:rsid w:val="005978D4"/>
    <w:rsid w:val="005A0A43"/>
    <w:rsid w:val="005A13F3"/>
    <w:rsid w:val="005A1469"/>
    <w:rsid w:val="005A2D23"/>
    <w:rsid w:val="005A39CF"/>
    <w:rsid w:val="005A3C3F"/>
    <w:rsid w:val="005A3D24"/>
    <w:rsid w:val="005A4899"/>
    <w:rsid w:val="005A48D1"/>
    <w:rsid w:val="005A4B00"/>
    <w:rsid w:val="005A4BF1"/>
    <w:rsid w:val="005A4D3D"/>
    <w:rsid w:val="005A5B4F"/>
    <w:rsid w:val="005A6E88"/>
    <w:rsid w:val="005A776E"/>
    <w:rsid w:val="005B0A9C"/>
    <w:rsid w:val="005B0F77"/>
    <w:rsid w:val="005B1080"/>
    <w:rsid w:val="005B11B4"/>
    <w:rsid w:val="005B11D1"/>
    <w:rsid w:val="005B1A6F"/>
    <w:rsid w:val="005B1AB7"/>
    <w:rsid w:val="005B1ACA"/>
    <w:rsid w:val="005B1B0D"/>
    <w:rsid w:val="005B2089"/>
    <w:rsid w:val="005B53F7"/>
    <w:rsid w:val="005B5A78"/>
    <w:rsid w:val="005B60B2"/>
    <w:rsid w:val="005B7F29"/>
    <w:rsid w:val="005C0656"/>
    <w:rsid w:val="005C06A5"/>
    <w:rsid w:val="005C0951"/>
    <w:rsid w:val="005C14F3"/>
    <w:rsid w:val="005C1861"/>
    <w:rsid w:val="005C1FED"/>
    <w:rsid w:val="005C213B"/>
    <w:rsid w:val="005C2610"/>
    <w:rsid w:val="005C3AA9"/>
    <w:rsid w:val="005C3BC5"/>
    <w:rsid w:val="005C3FFE"/>
    <w:rsid w:val="005C4A31"/>
    <w:rsid w:val="005C51F5"/>
    <w:rsid w:val="005C593D"/>
    <w:rsid w:val="005C67AA"/>
    <w:rsid w:val="005C6ED5"/>
    <w:rsid w:val="005C7A30"/>
    <w:rsid w:val="005C7BA3"/>
    <w:rsid w:val="005D026E"/>
    <w:rsid w:val="005D08F3"/>
    <w:rsid w:val="005D1065"/>
    <w:rsid w:val="005D1094"/>
    <w:rsid w:val="005D1DFA"/>
    <w:rsid w:val="005D1F35"/>
    <w:rsid w:val="005D2077"/>
    <w:rsid w:val="005D2513"/>
    <w:rsid w:val="005D2794"/>
    <w:rsid w:val="005D3106"/>
    <w:rsid w:val="005D3317"/>
    <w:rsid w:val="005D368F"/>
    <w:rsid w:val="005D428C"/>
    <w:rsid w:val="005D4780"/>
    <w:rsid w:val="005D4A41"/>
    <w:rsid w:val="005D54AF"/>
    <w:rsid w:val="005D626E"/>
    <w:rsid w:val="005D64C4"/>
    <w:rsid w:val="005D694E"/>
    <w:rsid w:val="005D6E66"/>
    <w:rsid w:val="005D787F"/>
    <w:rsid w:val="005E0799"/>
    <w:rsid w:val="005E0FA6"/>
    <w:rsid w:val="005E1305"/>
    <w:rsid w:val="005E185E"/>
    <w:rsid w:val="005E1E53"/>
    <w:rsid w:val="005E2004"/>
    <w:rsid w:val="005E20E9"/>
    <w:rsid w:val="005E220A"/>
    <w:rsid w:val="005E2DCA"/>
    <w:rsid w:val="005E2ECB"/>
    <w:rsid w:val="005E2F2E"/>
    <w:rsid w:val="005E30D8"/>
    <w:rsid w:val="005E32F1"/>
    <w:rsid w:val="005E37A6"/>
    <w:rsid w:val="005E3D53"/>
    <w:rsid w:val="005E3EC6"/>
    <w:rsid w:val="005E3F64"/>
    <w:rsid w:val="005E4108"/>
    <w:rsid w:val="005E4890"/>
    <w:rsid w:val="005E644D"/>
    <w:rsid w:val="005E6694"/>
    <w:rsid w:val="005E6F9F"/>
    <w:rsid w:val="005E7745"/>
    <w:rsid w:val="005E781C"/>
    <w:rsid w:val="005F003A"/>
    <w:rsid w:val="005F056D"/>
    <w:rsid w:val="005F0989"/>
    <w:rsid w:val="005F10EE"/>
    <w:rsid w:val="005F13E3"/>
    <w:rsid w:val="005F17FF"/>
    <w:rsid w:val="005F1BD3"/>
    <w:rsid w:val="005F1C6D"/>
    <w:rsid w:val="005F1E56"/>
    <w:rsid w:val="005F2065"/>
    <w:rsid w:val="005F219D"/>
    <w:rsid w:val="005F23FB"/>
    <w:rsid w:val="005F30A3"/>
    <w:rsid w:val="005F3215"/>
    <w:rsid w:val="005F3B62"/>
    <w:rsid w:val="005F3C1A"/>
    <w:rsid w:val="005F48A8"/>
    <w:rsid w:val="005F4D28"/>
    <w:rsid w:val="005F511C"/>
    <w:rsid w:val="005F51A6"/>
    <w:rsid w:val="005F52B6"/>
    <w:rsid w:val="005F6723"/>
    <w:rsid w:val="005F6B88"/>
    <w:rsid w:val="005F6BC2"/>
    <w:rsid w:val="005F6F4A"/>
    <w:rsid w:val="005F77D1"/>
    <w:rsid w:val="005F793E"/>
    <w:rsid w:val="005F7BE2"/>
    <w:rsid w:val="00600E69"/>
    <w:rsid w:val="00601607"/>
    <w:rsid w:val="00601C17"/>
    <w:rsid w:val="00602105"/>
    <w:rsid w:val="00602301"/>
    <w:rsid w:val="00602535"/>
    <w:rsid w:val="0060268F"/>
    <w:rsid w:val="00603620"/>
    <w:rsid w:val="00603770"/>
    <w:rsid w:val="006037FF"/>
    <w:rsid w:val="00603D39"/>
    <w:rsid w:val="0060430D"/>
    <w:rsid w:val="00604530"/>
    <w:rsid w:val="006052FD"/>
    <w:rsid w:val="006057E4"/>
    <w:rsid w:val="00605B29"/>
    <w:rsid w:val="0060638F"/>
    <w:rsid w:val="00606517"/>
    <w:rsid w:val="00606A94"/>
    <w:rsid w:val="0060725D"/>
    <w:rsid w:val="0061016D"/>
    <w:rsid w:val="00610D43"/>
    <w:rsid w:val="00611459"/>
    <w:rsid w:val="00611B2E"/>
    <w:rsid w:val="00612061"/>
    <w:rsid w:val="006124E2"/>
    <w:rsid w:val="006130FD"/>
    <w:rsid w:val="006134F3"/>
    <w:rsid w:val="00614071"/>
    <w:rsid w:val="00614094"/>
    <w:rsid w:val="006147BF"/>
    <w:rsid w:val="00614801"/>
    <w:rsid w:val="006148C5"/>
    <w:rsid w:val="006166AC"/>
    <w:rsid w:val="00616828"/>
    <w:rsid w:val="00617378"/>
    <w:rsid w:val="00617953"/>
    <w:rsid w:val="00617AE3"/>
    <w:rsid w:val="0062010B"/>
    <w:rsid w:val="00620E67"/>
    <w:rsid w:val="00621573"/>
    <w:rsid w:val="0062160F"/>
    <w:rsid w:val="00621AB3"/>
    <w:rsid w:val="00621AF1"/>
    <w:rsid w:val="006226A3"/>
    <w:rsid w:val="00622C25"/>
    <w:rsid w:val="0062335D"/>
    <w:rsid w:val="00623BDD"/>
    <w:rsid w:val="00624495"/>
    <w:rsid w:val="00624DCD"/>
    <w:rsid w:val="00624E0C"/>
    <w:rsid w:val="00625983"/>
    <w:rsid w:val="006261CF"/>
    <w:rsid w:val="00627CEB"/>
    <w:rsid w:val="00627E63"/>
    <w:rsid w:val="00630023"/>
    <w:rsid w:val="00630036"/>
    <w:rsid w:val="0063074F"/>
    <w:rsid w:val="006307A1"/>
    <w:rsid w:val="00632439"/>
    <w:rsid w:val="0063352A"/>
    <w:rsid w:val="00633BE9"/>
    <w:rsid w:val="0063402C"/>
    <w:rsid w:val="0063403A"/>
    <w:rsid w:val="006340E0"/>
    <w:rsid w:val="00634412"/>
    <w:rsid w:val="00634520"/>
    <w:rsid w:val="006346D1"/>
    <w:rsid w:val="006347F1"/>
    <w:rsid w:val="00634C46"/>
    <w:rsid w:val="00634E4C"/>
    <w:rsid w:val="00634F03"/>
    <w:rsid w:val="0063550D"/>
    <w:rsid w:val="0063556A"/>
    <w:rsid w:val="00635594"/>
    <w:rsid w:val="00635D9F"/>
    <w:rsid w:val="006361D5"/>
    <w:rsid w:val="00636775"/>
    <w:rsid w:val="006378D8"/>
    <w:rsid w:val="00637AC5"/>
    <w:rsid w:val="00640607"/>
    <w:rsid w:val="00640A35"/>
    <w:rsid w:val="00641154"/>
    <w:rsid w:val="00641BD0"/>
    <w:rsid w:val="006423C5"/>
    <w:rsid w:val="0064251C"/>
    <w:rsid w:val="00642AC7"/>
    <w:rsid w:val="00642E8E"/>
    <w:rsid w:val="00642F7F"/>
    <w:rsid w:val="00643440"/>
    <w:rsid w:val="00643707"/>
    <w:rsid w:val="0064377A"/>
    <w:rsid w:val="00644753"/>
    <w:rsid w:val="00644BD4"/>
    <w:rsid w:val="00644E37"/>
    <w:rsid w:val="006451E5"/>
    <w:rsid w:val="0064542F"/>
    <w:rsid w:val="00645F48"/>
    <w:rsid w:val="00646B0B"/>
    <w:rsid w:val="00646EAD"/>
    <w:rsid w:val="0064748E"/>
    <w:rsid w:val="0065048C"/>
    <w:rsid w:val="0065099C"/>
    <w:rsid w:val="00650EA6"/>
    <w:rsid w:val="00651220"/>
    <w:rsid w:val="00651BA6"/>
    <w:rsid w:val="006524EF"/>
    <w:rsid w:val="00652C74"/>
    <w:rsid w:val="006531B1"/>
    <w:rsid w:val="006532E0"/>
    <w:rsid w:val="00653340"/>
    <w:rsid w:val="006536BD"/>
    <w:rsid w:val="00653893"/>
    <w:rsid w:val="00653A20"/>
    <w:rsid w:val="00653A6F"/>
    <w:rsid w:val="00653F11"/>
    <w:rsid w:val="00654333"/>
    <w:rsid w:val="00654615"/>
    <w:rsid w:val="00654DC0"/>
    <w:rsid w:val="00655740"/>
    <w:rsid w:val="00655D11"/>
    <w:rsid w:val="00656BEC"/>
    <w:rsid w:val="00656FA9"/>
    <w:rsid w:val="00657420"/>
    <w:rsid w:val="006574FA"/>
    <w:rsid w:val="00657707"/>
    <w:rsid w:val="006605CE"/>
    <w:rsid w:val="006609DA"/>
    <w:rsid w:val="006613E6"/>
    <w:rsid w:val="00661916"/>
    <w:rsid w:val="00661F59"/>
    <w:rsid w:val="00662914"/>
    <w:rsid w:val="00662E38"/>
    <w:rsid w:val="00663272"/>
    <w:rsid w:val="0066377F"/>
    <w:rsid w:val="006640C5"/>
    <w:rsid w:val="00664DB1"/>
    <w:rsid w:val="006650B8"/>
    <w:rsid w:val="006658A4"/>
    <w:rsid w:val="00666DD0"/>
    <w:rsid w:val="006672EB"/>
    <w:rsid w:val="00667425"/>
    <w:rsid w:val="006678DE"/>
    <w:rsid w:val="00667985"/>
    <w:rsid w:val="00667B86"/>
    <w:rsid w:val="00670287"/>
    <w:rsid w:val="00670433"/>
    <w:rsid w:val="00673173"/>
    <w:rsid w:val="006735ED"/>
    <w:rsid w:val="00673A16"/>
    <w:rsid w:val="00674322"/>
    <w:rsid w:val="006749B1"/>
    <w:rsid w:val="00674FC9"/>
    <w:rsid w:val="00676876"/>
    <w:rsid w:val="00676D11"/>
    <w:rsid w:val="00680786"/>
    <w:rsid w:val="00680C4F"/>
    <w:rsid w:val="0068108E"/>
    <w:rsid w:val="0068195A"/>
    <w:rsid w:val="00681F61"/>
    <w:rsid w:val="00682846"/>
    <w:rsid w:val="00682BDD"/>
    <w:rsid w:val="0068379E"/>
    <w:rsid w:val="006853BD"/>
    <w:rsid w:val="0068631A"/>
    <w:rsid w:val="00686482"/>
    <w:rsid w:val="006864F3"/>
    <w:rsid w:val="00686509"/>
    <w:rsid w:val="00686B51"/>
    <w:rsid w:val="00687225"/>
    <w:rsid w:val="0068755B"/>
    <w:rsid w:val="00687F6E"/>
    <w:rsid w:val="006904A6"/>
    <w:rsid w:val="0069068B"/>
    <w:rsid w:val="00691B24"/>
    <w:rsid w:val="00691D49"/>
    <w:rsid w:val="00692744"/>
    <w:rsid w:val="00692A57"/>
    <w:rsid w:val="00692BA8"/>
    <w:rsid w:val="006931AA"/>
    <w:rsid w:val="006932A7"/>
    <w:rsid w:val="00693531"/>
    <w:rsid w:val="006937A0"/>
    <w:rsid w:val="006938D2"/>
    <w:rsid w:val="006939F7"/>
    <w:rsid w:val="00693C0B"/>
    <w:rsid w:val="00693D03"/>
    <w:rsid w:val="006948D7"/>
    <w:rsid w:val="00695DB2"/>
    <w:rsid w:val="00695EA0"/>
    <w:rsid w:val="00695EBD"/>
    <w:rsid w:val="00696089"/>
    <w:rsid w:val="006963D6"/>
    <w:rsid w:val="00696828"/>
    <w:rsid w:val="00697086"/>
    <w:rsid w:val="006A022E"/>
    <w:rsid w:val="006A07A9"/>
    <w:rsid w:val="006A096F"/>
    <w:rsid w:val="006A0BC0"/>
    <w:rsid w:val="006A0BC4"/>
    <w:rsid w:val="006A0C49"/>
    <w:rsid w:val="006A1D04"/>
    <w:rsid w:val="006A249A"/>
    <w:rsid w:val="006A3570"/>
    <w:rsid w:val="006A3642"/>
    <w:rsid w:val="006A3FFA"/>
    <w:rsid w:val="006A4FA6"/>
    <w:rsid w:val="006A52FD"/>
    <w:rsid w:val="006A55CB"/>
    <w:rsid w:val="006A58CB"/>
    <w:rsid w:val="006A6D32"/>
    <w:rsid w:val="006A6DC6"/>
    <w:rsid w:val="006B02A7"/>
    <w:rsid w:val="006B02D3"/>
    <w:rsid w:val="006B18DC"/>
    <w:rsid w:val="006B191D"/>
    <w:rsid w:val="006B328B"/>
    <w:rsid w:val="006B3378"/>
    <w:rsid w:val="006B34B6"/>
    <w:rsid w:val="006B3636"/>
    <w:rsid w:val="006B3C97"/>
    <w:rsid w:val="006B433F"/>
    <w:rsid w:val="006B4C16"/>
    <w:rsid w:val="006B5460"/>
    <w:rsid w:val="006B5843"/>
    <w:rsid w:val="006B7E64"/>
    <w:rsid w:val="006B7F32"/>
    <w:rsid w:val="006C010B"/>
    <w:rsid w:val="006C09A5"/>
    <w:rsid w:val="006C190B"/>
    <w:rsid w:val="006C1D96"/>
    <w:rsid w:val="006C2301"/>
    <w:rsid w:val="006C2760"/>
    <w:rsid w:val="006C2D09"/>
    <w:rsid w:val="006C2D6F"/>
    <w:rsid w:val="006C2ED3"/>
    <w:rsid w:val="006C377D"/>
    <w:rsid w:val="006C4615"/>
    <w:rsid w:val="006C5BA6"/>
    <w:rsid w:val="006C5C9A"/>
    <w:rsid w:val="006C6EC5"/>
    <w:rsid w:val="006D083B"/>
    <w:rsid w:val="006D0E3D"/>
    <w:rsid w:val="006D1F7A"/>
    <w:rsid w:val="006D2638"/>
    <w:rsid w:val="006D3D76"/>
    <w:rsid w:val="006D3FF2"/>
    <w:rsid w:val="006D4E93"/>
    <w:rsid w:val="006D58EE"/>
    <w:rsid w:val="006D662B"/>
    <w:rsid w:val="006D709D"/>
    <w:rsid w:val="006D788D"/>
    <w:rsid w:val="006D7A9E"/>
    <w:rsid w:val="006E0089"/>
    <w:rsid w:val="006E0809"/>
    <w:rsid w:val="006E0CDF"/>
    <w:rsid w:val="006E0EA2"/>
    <w:rsid w:val="006E1091"/>
    <w:rsid w:val="006E1D40"/>
    <w:rsid w:val="006E24FB"/>
    <w:rsid w:val="006E27A7"/>
    <w:rsid w:val="006E353F"/>
    <w:rsid w:val="006E3609"/>
    <w:rsid w:val="006E3616"/>
    <w:rsid w:val="006E4175"/>
    <w:rsid w:val="006E437B"/>
    <w:rsid w:val="006E5070"/>
    <w:rsid w:val="006E5ABA"/>
    <w:rsid w:val="006E6014"/>
    <w:rsid w:val="006E64BB"/>
    <w:rsid w:val="006E64E0"/>
    <w:rsid w:val="006E6BAD"/>
    <w:rsid w:val="006E6BE8"/>
    <w:rsid w:val="006E6FBB"/>
    <w:rsid w:val="006E70BE"/>
    <w:rsid w:val="006E7153"/>
    <w:rsid w:val="006E7B72"/>
    <w:rsid w:val="006F0310"/>
    <w:rsid w:val="006F078A"/>
    <w:rsid w:val="006F08AA"/>
    <w:rsid w:val="006F0BF1"/>
    <w:rsid w:val="006F0CB0"/>
    <w:rsid w:val="006F0CF3"/>
    <w:rsid w:val="006F1183"/>
    <w:rsid w:val="006F1741"/>
    <w:rsid w:val="006F1D31"/>
    <w:rsid w:val="006F286F"/>
    <w:rsid w:val="006F2B8D"/>
    <w:rsid w:val="006F2E5E"/>
    <w:rsid w:val="006F316E"/>
    <w:rsid w:val="006F3173"/>
    <w:rsid w:val="006F33C3"/>
    <w:rsid w:val="006F3CAF"/>
    <w:rsid w:val="006F42B6"/>
    <w:rsid w:val="006F4F5F"/>
    <w:rsid w:val="006F5D2A"/>
    <w:rsid w:val="006F5E0F"/>
    <w:rsid w:val="006F5F5A"/>
    <w:rsid w:val="006F6289"/>
    <w:rsid w:val="006F6574"/>
    <w:rsid w:val="006F77F7"/>
    <w:rsid w:val="006F7AF3"/>
    <w:rsid w:val="006F7D42"/>
    <w:rsid w:val="007000B7"/>
    <w:rsid w:val="0070072C"/>
    <w:rsid w:val="007007C7"/>
    <w:rsid w:val="00700C65"/>
    <w:rsid w:val="00701D84"/>
    <w:rsid w:val="00702812"/>
    <w:rsid w:val="0070293C"/>
    <w:rsid w:val="007036F4"/>
    <w:rsid w:val="00703E53"/>
    <w:rsid w:val="0070420C"/>
    <w:rsid w:val="00704DE2"/>
    <w:rsid w:val="007053A6"/>
    <w:rsid w:val="0070589D"/>
    <w:rsid w:val="00705EF2"/>
    <w:rsid w:val="00706D01"/>
    <w:rsid w:val="00706ED7"/>
    <w:rsid w:val="0070712D"/>
    <w:rsid w:val="007072B0"/>
    <w:rsid w:val="007075FC"/>
    <w:rsid w:val="0070775A"/>
    <w:rsid w:val="00707A0D"/>
    <w:rsid w:val="00707D67"/>
    <w:rsid w:val="00707D95"/>
    <w:rsid w:val="00710109"/>
    <w:rsid w:val="007105D4"/>
    <w:rsid w:val="007108E7"/>
    <w:rsid w:val="00710C59"/>
    <w:rsid w:val="00710CCF"/>
    <w:rsid w:val="00711173"/>
    <w:rsid w:val="0071248E"/>
    <w:rsid w:val="00712559"/>
    <w:rsid w:val="007140F9"/>
    <w:rsid w:val="0071520B"/>
    <w:rsid w:val="0071525C"/>
    <w:rsid w:val="00715E49"/>
    <w:rsid w:val="00715F3A"/>
    <w:rsid w:val="00715F44"/>
    <w:rsid w:val="007163A8"/>
    <w:rsid w:val="007163F4"/>
    <w:rsid w:val="00716A2F"/>
    <w:rsid w:val="00716CB6"/>
    <w:rsid w:val="00717AB2"/>
    <w:rsid w:val="00717DFD"/>
    <w:rsid w:val="00720143"/>
    <w:rsid w:val="0072056F"/>
    <w:rsid w:val="0072111F"/>
    <w:rsid w:val="0072221A"/>
    <w:rsid w:val="00722A27"/>
    <w:rsid w:val="0072330F"/>
    <w:rsid w:val="00723894"/>
    <w:rsid w:val="00723CD7"/>
    <w:rsid w:val="0072462C"/>
    <w:rsid w:val="00724A9D"/>
    <w:rsid w:val="00724B73"/>
    <w:rsid w:val="0072525C"/>
    <w:rsid w:val="007253AA"/>
    <w:rsid w:val="00725D57"/>
    <w:rsid w:val="00726184"/>
    <w:rsid w:val="007267FC"/>
    <w:rsid w:val="007268F4"/>
    <w:rsid w:val="00726C7B"/>
    <w:rsid w:val="007270E4"/>
    <w:rsid w:val="00727F70"/>
    <w:rsid w:val="0073190A"/>
    <w:rsid w:val="00731C73"/>
    <w:rsid w:val="00731EFB"/>
    <w:rsid w:val="00732AE3"/>
    <w:rsid w:val="00732CB2"/>
    <w:rsid w:val="00732F59"/>
    <w:rsid w:val="0073370B"/>
    <w:rsid w:val="0073412D"/>
    <w:rsid w:val="00734F7F"/>
    <w:rsid w:val="007350EF"/>
    <w:rsid w:val="00735C92"/>
    <w:rsid w:val="00736A8B"/>
    <w:rsid w:val="00737323"/>
    <w:rsid w:val="007373C2"/>
    <w:rsid w:val="007378EC"/>
    <w:rsid w:val="00741358"/>
    <w:rsid w:val="00741CE9"/>
    <w:rsid w:val="007425FA"/>
    <w:rsid w:val="0074264A"/>
    <w:rsid w:val="00742B99"/>
    <w:rsid w:val="00743591"/>
    <w:rsid w:val="00743A83"/>
    <w:rsid w:val="00743FB9"/>
    <w:rsid w:val="0074444F"/>
    <w:rsid w:val="007446E2"/>
    <w:rsid w:val="00744889"/>
    <w:rsid w:val="00744EE3"/>
    <w:rsid w:val="00744F18"/>
    <w:rsid w:val="00745E84"/>
    <w:rsid w:val="00746946"/>
    <w:rsid w:val="007478B3"/>
    <w:rsid w:val="00751A6F"/>
    <w:rsid w:val="00751ACD"/>
    <w:rsid w:val="00751C0B"/>
    <w:rsid w:val="007520B7"/>
    <w:rsid w:val="0075238E"/>
    <w:rsid w:val="00752DAE"/>
    <w:rsid w:val="007534D6"/>
    <w:rsid w:val="00753718"/>
    <w:rsid w:val="0075396C"/>
    <w:rsid w:val="00754691"/>
    <w:rsid w:val="00755234"/>
    <w:rsid w:val="007553BC"/>
    <w:rsid w:val="00755C3E"/>
    <w:rsid w:val="00755D11"/>
    <w:rsid w:val="00755F87"/>
    <w:rsid w:val="007562A4"/>
    <w:rsid w:val="007568F2"/>
    <w:rsid w:val="00756CE4"/>
    <w:rsid w:val="00756E49"/>
    <w:rsid w:val="0075700D"/>
    <w:rsid w:val="0075729E"/>
    <w:rsid w:val="0075779A"/>
    <w:rsid w:val="00760190"/>
    <w:rsid w:val="007604C5"/>
    <w:rsid w:val="00760905"/>
    <w:rsid w:val="007612EE"/>
    <w:rsid w:val="00761471"/>
    <w:rsid w:val="00761821"/>
    <w:rsid w:val="0076187C"/>
    <w:rsid w:val="0076232F"/>
    <w:rsid w:val="00762AF2"/>
    <w:rsid w:val="00762C4F"/>
    <w:rsid w:val="00763604"/>
    <w:rsid w:val="00763C5B"/>
    <w:rsid w:val="00764A1B"/>
    <w:rsid w:val="007652F5"/>
    <w:rsid w:val="00765A0B"/>
    <w:rsid w:val="0076662A"/>
    <w:rsid w:val="00766B16"/>
    <w:rsid w:val="00767297"/>
    <w:rsid w:val="00767B29"/>
    <w:rsid w:val="00767DE8"/>
    <w:rsid w:val="00770066"/>
    <w:rsid w:val="007703FB"/>
    <w:rsid w:val="00770737"/>
    <w:rsid w:val="00770802"/>
    <w:rsid w:val="007709C7"/>
    <w:rsid w:val="0077177B"/>
    <w:rsid w:val="00771945"/>
    <w:rsid w:val="00771F9D"/>
    <w:rsid w:val="00772100"/>
    <w:rsid w:val="0077215A"/>
    <w:rsid w:val="007726C8"/>
    <w:rsid w:val="00772939"/>
    <w:rsid w:val="00772F96"/>
    <w:rsid w:val="00773088"/>
    <w:rsid w:val="00773B06"/>
    <w:rsid w:val="00774B16"/>
    <w:rsid w:val="00774CC3"/>
    <w:rsid w:val="00775969"/>
    <w:rsid w:val="00776A6E"/>
    <w:rsid w:val="00776B64"/>
    <w:rsid w:val="00776C88"/>
    <w:rsid w:val="00777867"/>
    <w:rsid w:val="0077797B"/>
    <w:rsid w:val="00780147"/>
    <w:rsid w:val="007806E3"/>
    <w:rsid w:val="00780725"/>
    <w:rsid w:val="007807D2"/>
    <w:rsid w:val="00780A49"/>
    <w:rsid w:val="00780C8C"/>
    <w:rsid w:val="007815D6"/>
    <w:rsid w:val="0078179B"/>
    <w:rsid w:val="0078196F"/>
    <w:rsid w:val="0078211B"/>
    <w:rsid w:val="007821E0"/>
    <w:rsid w:val="007822BD"/>
    <w:rsid w:val="00783580"/>
    <w:rsid w:val="0078384F"/>
    <w:rsid w:val="00783C02"/>
    <w:rsid w:val="0078442E"/>
    <w:rsid w:val="00785084"/>
    <w:rsid w:val="00785273"/>
    <w:rsid w:val="007860A9"/>
    <w:rsid w:val="007863E2"/>
    <w:rsid w:val="007864C9"/>
    <w:rsid w:val="007869E5"/>
    <w:rsid w:val="00786BC2"/>
    <w:rsid w:val="00786F51"/>
    <w:rsid w:val="0078732D"/>
    <w:rsid w:val="00787BB4"/>
    <w:rsid w:val="007900A6"/>
    <w:rsid w:val="007905ED"/>
    <w:rsid w:val="00790738"/>
    <w:rsid w:val="007907ED"/>
    <w:rsid w:val="00790AE8"/>
    <w:rsid w:val="0079285E"/>
    <w:rsid w:val="00792C01"/>
    <w:rsid w:val="00793065"/>
    <w:rsid w:val="00793540"/>
    <w:rsid w:val="00794012"/>
    <w:rsid w:val="007940F1"/>
    <w:rsid w:val="00794617"/>
    <w:rsid w:val="00794694"/>
    <w:rsid w:val="00795572"/>
    <w:rsid w:val="007958F3"/>
    <w:rsid w:val="00795E22"/>
    <w:rsid w:val="007961DC"/>
    <w:rsid w:val="0079658C"/>
    <w:rsid w:val="0079759D"/>
    <w:rsid w:val="0079775E"/>
    <w:rsid w:val="007977A7"/>
    <w:rsid w:val="007977A8"/>
    <w:rsid w:val="007A0474"/>
    <w:rsid w:val="007A0803"/>
    <w:rsid w:val="007A0809"/>
    <w:rsid w:val="007A0A2A"/>
    <w:rsid w:val="007A0B50"/>
    <w:rsid w:val="007A0D3F"/>
    <w:rsid w:val="007A14AB"/>
    <w:rsid w:val="007A19EE"/>
    <w:rsid w:val="007A1A29"/>
    <w:rsid w:val="007A1A64"/>
    <w:rsid w:val="007A2C57"/>
    <w:rsid w:val="007A323A"/>
    <w:rsid w:val="007A34AF"/>
    <w:rsid w:val="007A3810"/>
    <w:rsid w:val="007A38DB"/>
    <w:rsid w:val="007A3FB4"/>
    <w:rsid w:val="007A406F"/>
    <w:rsid w:val="007A41B8"/>
    <w:rsid w:val="007A4D3C"/>
    <w:rsid w:val="007A6507"/>
    <w:rsid w:val="007A6CE0"/>
    <w:rsid w:val="007A711A"/>
    <w:rsid w:val="007A7517"/>
    <w:rsid w:val="007B091C"/>
    <w:rsid w:val="007B0B3E"/>
    <w:rsid w:val="007B2751"/>
    <w:rsid w:val="007B3398"/>
    <w:rsid w:val="007B42C9"/>
    <w:rsid w:val="007B4DDB"/>
    <w:rsid w:val="007B5C0E"/>
    <w:rsid w:val="007B7E8F"/>
    <w:rsid w:val="007C0866"/>
    <w:rsid w:val="007C0949"/>
    <w:rsid w:val="007C0D82"/>
    <w:rsid w:val="007C0E1D"/>
    <w:rsid w:val="007C179C"/>
    <w:rsid w:val="007C1B06"/>
    <w:rsid w:val="007C1DE3"/>
    <w:rsid w:val="007C1FD1"/>
    <w:rsid w:val="007C293D"/>
    <w:rsid w:val="007C2F4B"/>
    <w:rsid w:val="007C318D"/>
    <w:rsid w:val="007C453A"/>
    <w:rsid w:val="007C4731"/>
    <w:rsid w:val="007C4D33"/>
    <w:rsid w:val="007C50C3"/>
    <w:rsid w:val="007C5AED"/>
    <w:rsid w:val="007C5F61"/>
    <w:rsid w:val="007C64BB"/>
    <w:rsid w:val="007C689A"/>
    <w:rsid w:val="007C78D1"/>
    <w:rsid w:val="007D0A71"/>
    <w:rsid w:val="007D0DFA"/>
    <w:rsid w:val="007D1185"/>
    <w:rsid w:val="007D1543"/>
    <w:rsid w:val="007D1712"/>
    <w:rsid w:val="007D22A0"/>
    <w:rsid w:val="007D2AD0"/>
    <w:rsid w:val="007D4F7F"/>
    <w:rsid w:val="007D51E9"/>
    <w:rsid w:val="007D52E2"/>
    <w:rsid w:val="007D6002"/>
    <w:rsid w:val="007D65AD"/>
    <w:rsid w:val="007D6D83"/>
    <w:rsid w:val="007D73DE"/>
    <w:rsid w:val="007D7E8F"/>
    <w:rsid w:val="007D7FB0"/>
    <w:rsid w:val="007E05D8"/>
    <w:rsid w:val="007E0785"/>
    <w:rsid w:val="007E0CD6"/>
    <w:rsid w:val="007E1ADA"/>
    <w:rsid w:val="007E1F97"/>
    <w:rsid w:val="007E2240"/>
    <w:rsid w:val="007E290E"/>
    <w:rsid w:val="007E32F2"/>
    <w:rsid w:val="007E3304"/>
    <w:rsid w:val="007E4CFB"/>
    <w:rsid w:val="007E54EF"/>
    <w:rsid w:val="007E55AA"/>
    <w:rsid w:val="007E5639"/>
    <w:rsid w:val="007E5C9E"/>
    <w:rsid w:val="007E6DC3"/>
    <w:rsid w:val="007E7502"/>
    <w:rsid w:val="007E7942"/>
    <w:rsid w:val="007E7952"/>
    <w:rsid w:val="007E7971"/>
    <w:rsid w:val="007F0C1E"/>
    <w:rsid w:val="007F10EC"/>
    <w:rsid w:val="007F11E5"/>
    <w:rsid w:val="007F12F4"/>
    <w:rsid w:val="007F2270"/>
    <w:rsid w:val="007F2B4B"/>
    <w:rsid w:val="007F2C23"/>
    <w:rsid w:val="007F32E2"/>
    <w:rsid w:val="007F33ED"/>
    <w:rsid w:val="007F34FF"/>
    <w:rsid w:val="007F4433"/>
    <w:rsid w:val="007F62A4"/>
    <w:rsid w:val="007F65AD"/>
    <w:rsid w:val="007F6AFB"/>
    <w:rsid w:val="007F6BFC"/>
    <w:rsid w:val="007F6CB7"/>
    <w:rsid w:val="007F6D57"/>
    <w:rsid w:val="007F7068"/>
    <w:rsid w:val="007F763A"/>
    <w:rsid w:val="008005E3"/>
    <w:rsid w:val="00800C59"/>
    <w:rsid w:val="0080215C"/>
    <w:rsid w:val="008024AF"/>
    <w:rsid w:val="00802D88"/>
    <w:rsid w:val="00803369"/>
    <w:rsid w:val="008035F9"/>
    <w:rsid w:val="008037AE"/>
    <w:rsid w:val="00803A54"/>
    <w:rsid w:val="008056FB"/>
    <w:rsid w:val="0080591B"/>
    <w:rsid w:val="00805946"/>
    <w:rsid w:val="00806135"/>
    <w:rsid w:val="00806742"/>
    <w:rsid w:val="008074A9"/>
    <w:rsid w:val="008077C8"/>
    <w:rsid w:val="008105A5"/>
    <w:rsid w:val="00810A3D"/>
    <w:rsid w:val="00810B55"/>
    <w:rsid w:val="00810BDA"/>
    <w:rsid w:val="008116F9"/>
    <w:rsid w:val="008118A5"/>
    <w:rsid w:val="00811DFE"/>
    <w:rsid w:val="008122B6"/>
    <w:rsid w:val="00812552"/>
    <w:rsid w:val="008151FB"/>
    <w:rsid w:val="00815743"/>
    <w:rsid w:val="00815D2F"/>
    <w:rsid w:val="00816A23"/>
    <w:rsid w:val="00817C8B"/>
    <w:rsid w:val="00820DDA"/>
    <w:rsid w:val="00821389"/>
    <w:rsid w:val="00822AA1"/>
    <w:rsid w:val="00822E4A"/>
    <w:rsid w:val="0082389A"/>
    <w:rsid w:val="00823DBA"/>
    <w:rsid w:val="00823EC6"/>
    <w:rsid w:val="0082451B"/>
    <w:rsid w:val="0082581C"/>
    <w:rsid w:val="00825A17"/>
    <w:rsid w:val="00825A2F"/>
    <w:rsid w:val="0082625D"/>
    <w:rsid w:val="008269CF"/>
    <w:rsid w:val="0082705C"/>
    <w:rsid w:val="00830C1F"/>
    <w:rsid w:val="0083136C"/>
    <w:rsid w:val="008317DC"/>
    <w:rsid w:val="00831939"/>
    <w:rsid w:val="0083330F"/>
    <w:rsid w:val="00833584"/>
    <w:rsid w:val="0083369D"/>
    <w:rsid w:val="008339AD"/>
    <w:rsid w:val="00834265"/>
    <w:rsid w:val="0083436F"/>
    <w:rsid w:val="008343FD"/>
    <w:rsid w:val="0083463A"/>
    <w:rsid w:val="00834D16"/>
    <w:rsid w:val="00834EBB"/>
    <w:rsid w:val="008356A9"/>
    <w:rsid w:val="008361A5"/>
    <w:rsid w:val="00836339"/>
    <w:rsid w:val="00836480"/>
    <w:rsid w:val="008377CC"/>
    <w:rsid w:val="008402C8"/>
    <w:rsid w:val="00841455"/>
    <w:rsid w:val="00841487"/>
    <w:rsid w:val="008415C8"/>
    <w:rsid w:val="00841EEB"/>
    <w:rsid w:val="00842331"/>
    <w:rsid w:val="00842627"/>
    <w:rsid w:val="00842D5D"/>
    <w:rsid w:val="00842FC3"/>
    <w:rsid w:val="008444B4"/>
    <w:rsid w:val="008447F5"/>
    <w:rsid w:val="00844DD2"/>
    <w:rsid w:val="00845837"/>
    <w:rsid w:val="00845B8A"/>
    <w:rsid w:val="00845E36"/>
    <w:rsid w:val="008462DE"/>
    <w:rsid w:val="00846799"/>
    <w:rsid w:val="00847343"/>
    <w:rsid w:val="00847600"/>
    <w:rsid w:val="00847BFA"/>
    <w:rsid w:val="00847C5C"/>
    <w:rsid w:val="00847FDC"/>
    <w:rsid w:val="00850364"/>
    <w:rsid w:val="00850529"/>
    <w:rsid w:val="008506F5"/>
    <w:rsid w:val="00851091"/>
    <w:rsid w:val="00851B03"/>
    <w:rsid w:val="00852015"/>
    <w:rsid w:val="00852686"/>
    <w:rsid w:val="0085269A"/>
    <w:rsid w:val="00852DD3"/>
    <w:rsid w:val="00853267"/>
    <w:rsid w:val="008539EA"/>
    <w:rsid w:val="00853A1E"/>
    <w:rsid w:val="00854041"/>
    <w:rsid w:val="00854069"/>
    <w:rsid w:val="008540DA"/>
    <w:rsid w:val="00854D49"/>
    <w:rsid w:val="00855865"/>
    <w:rsid w:val="008573AF"/>
    <w:rsid w:val="00857830"/>
    <w:rsid w:val="008579F7"/>
    <w:rsid w:val="00857A19"/>
    <w:rsid w:val="00857A60"/>
    <w:rsid w:val="00860722"/>
    <w:rsid w:val="0086092C"/>
    <w:rsid w:val="008610AC"/>
    <w:rsid w:val="00861D74"/>
    <w:rsid w:val="00862638"/>
    <w:rsid w:val="00862AA9"/>
    <w:rsid w:val="00863309"/>
    <w:rsid w:val="00863A06"/>
    <w:rsid w:val="00863D5A"/>
    <w:rsid w:val="008643A2"/>
    <w:rsid w:val="00864CAE"/>
    <w:rsid w:val="00864EBA"/>
    <w:rsid w:val="008656FF"/>
    <w:rsid w:val="00865CDE"/>
    <w:rsid w:val="00865F04"/>
    <w:rsid w:val="00866115"/>
    <w:rsid w:val="00866C90"/>
    <w:rsid w:val="00866CE5"/>
    <w:rsid w:val="008674C5"/>
    <w:rsid w:val="00867DF0"/>
    <w:rsid w:val="008709CA"/>
    <w:rsid w:val="008713AD"/>
    <w:rsid w:val="00871F00"/>
    <w:rsid w:val="00872366"/>
    <w:rsid w:val="00872752"/>
    <w:rsid w:val="0087297F"/>
    <w:rsid w:val="00873348"/>
    <w:rsid w:val="00873F1D"/>
    <w:rsid w:val="00874334"/>
    <w:rsid w:val="008744AE"/>
    <w:rsid w:val="00874ADE"/>
    <w:rsid w:val="00874F07"/>
    <w:rsid w:val="00875E40"/>
    <w:rsid w:val="00875FBB"/>
    <w:rsid w:val="008769E9"/>
    <w:rsid w:val="00876AAB"/>
    <w:rsid w:val="00876E07"/>
    <w:rsid w:val="00876E08"/>
    <w:rsid w:val="00876F34"/>
    <w:rsid w:val="00877330"/>
    <w:rsid w:val="00877B77"/>
    <w:rsid w:val="008802A3"/>
    <w:rsid w:val="00880BE5"/>
    <w:rsid w:val="0088192D"/>
    <w:rsid w:val="00881E34"/>
    <w:rsid w:val="00881F05"/>
    <w:rsid w:val="0088273E"/>
    <w:rsid w:val="00882A41"/>
    <w:rsid w:val="0088317C"/>
    <w:rsid w:val="008845E2"/>
    <w:rsid w:val="008849C5"/>
    <w:rsid w:val="0088554A"/>
    <w:rsid w:val="00885C1C"/>
    <w:rsid w:val="0088602C"/>
    <w:rsid w:val="00887289"/>
    <w:rsid w:val="00887383"/>
    <w:rsid w:val="0089031A"/>
    <w:rsid w:val="00890C37"/>
    <w:rsid w:val="0089133D"/>
    <w:rsid w:val="00891C31"/>
    <w:rsid w:val="008921E7"/>
    <w:rsid w:val="008925F1"/>
    <w:rsid w:val="00892B91"/>
    <w:rsid w:val="008930C4"/>
    <w:rsid w:val="0089351A"/>
    <w:rsid w:val="00893E37"/>
    <w:rsid w:val="00895D21"/>
    <w:rsid w:val="00895F7D"/>
    <w:rsid w:val="00897886"/>
    <w:rsid w:val="00897A1D"/>
    <w:rsid w:val="00897A24"/>
    <w:rsid w:val="00897EE1"/>
    <w:rsid w:val="008A08F9"/>
    <w:rsid w:val="008A0CD9"/>
    <w:rsid w:val="008A0CDC"/>
    <w:rsid w:val="008A11B5"/>
    <w:rsid w:val="008A15ED"/>
    <w:rsid w:val="008A3820"/>
    <w:rsid w:val="008A3C34"/>
    <w:rsid w:val="008A42B1"/>
    <w:rsid w:val="008A4BEA"/>
    <w:rsid w:val="008A5154"/>
    <w:rsid w:val="008A5ECA"/>
    <w:rsid w:val="008A6742"/>
    <w:rsid w:val="008A6867"/>
    <w:rsid w:val="008A71C1"/>
    <w:rsid w:val="008A7433"/>
    <w:rsid w:val="008A75E0"/>
    <w:rsid w:val="008A7EEC"/>
    <w:rsid w:val="008B035D"/>
    <w:rsid w:val="008B18BA"/>
    <w:rsid w:val="008B1FBE"/>
    <w:rsid w:val="008B2563"/>
    <w:rsid w:val="008B2957"/>
    <w:rsid w:val="008B3586"/>
    <w:rsid w:val="008B4530"/>
    <w:rsid w:val="008B45B0"/>
    <w:rsid w:val="008B4791"/>
    <w:rsid w:val="008B4CC8"/>
    <w:rsid w:val="008B58C0"/>
    <w:rsid w:val="008B6B7E"/>
    <w:rsid w:val="008B717D"/>
    <w:rsid w:val="008B7475"/>
    <w:rsid w:val="008B78CC"/>
    <w:rsid w:val="008B7E42"/>
    <w:rsid w:val="008C0405"/>
    <w:rsid w:val="008C0F1B"/>
    <w:rsid w:val="008C1A1F"/>
    <w:rsid w:val="008C1A22"/>
    <w:rsid w:val="008C1BE8"/>
    <w:rsid w:val="008C21C3"/>
    <w:rsid w:val="008C2EEA"/>
    <w:rsid w:val="008C3BC1"/>
    <w:rsid w:val="008C4338"/>
    <w:rsid w:val="008C4B3D"/>
    <w:rsid w:val="008C53A7"/>
    <w:rsid w:val="008C56FF"/>
    <w:rsid w:val="008C5A3D"/>
    <w:rsid w:val="008C641E"/>
    <w:rsid w:val="008C73BC"/>
    <w:rsid w:val="008C75A8"/>
    <w:rsid w:val="008C7A10"/>
    <w:rsid w:val="008D0C12"/>
    <w:rsid w:val="008D0DFE"/>
    <w:rsid w:val="008D0E2F"/>
    <w:rsid w:val="008D1954"/>
    <w:rsid w:val="008D1AC8"/>
    <w:rsid w:val="008D1B63"/>
    <w:rsid w:val="008D26B0"/>
    <w:rsid w:val="008D2992"/>
    <w:rsid w:val="008D29B7"/>
    <w:rsid w:val="008D2E2F"/>
    <w:rsid w:val="008D2E4D"/>
    <w:rsid w:val="008D2F40"/>
    <w:rsid w:val="008D2F55"/>
    <w:rsid w:val="008D349A"/>
    <w:rsid w:val="008D4289"/>
    <w:rsid w:val="008D46FC"/>
    <w:rsid w:val="008D54F7"/>
    <w:rsid w:val="008D5CBD"/>
    <w:rsid w:val="008D663C"/>
    <w:rsid w:val="008D67CC"/>
    <w:rsid w:val="008D72B9"/>
    <w:rsid w:val="008D7496"/>
    <w:rsid w:val="008D7836"/>
    <w:rsid w:val="008D7C91"/>
    <w:rsid w:val="008E00F1"/>
    <w:rsid w:val="008E05EC"/>
    <w:rsid w:val="008E0715"/>
    <w:rsid w:val="008E0960"/>
    <w:rsid w:val="008E1564"/>
    <w:rsid w:val="008E1886"/>
    <w:rsid w:val="008E1B2F"/>
    <w:rsid w:val="008E2C7A"/>
    <w:rsid w:val="008E3D51"/>
    <w:rsid w:val="008E4883"/>
    <w:rsid w:val="008E4A3F"/>
    <w:rsid w:val="008E4E91"/>
    <w:rsid w:val="008E5164"/>
    <w:rsid w:val="008E6313"/>
    <w:rsid w:val="008E6C56"/>
    <w:rsid w:val="008E7AB6"/>
    <w:rsid w:val="008E7DA2"/>
    <w:rsid w:val="008F00E0"/>
    <w:rsid w:val="008F133A"/>
    <w:rsid w:val="008F2B3C"/>
    <w:rsid w:val="008F2B4A"/>
    <w:rsid w:val="008F3B79"/>
    <w:rsid w:val="008F3DEC"/>
    <w:rsid w:val="008F4190"/>
    <w:rsid w:val="008F481A"/>
    <w:rsid w:val="008F4ED8"/>
    <w:rsid w:val="008F63D9"/>
    <w:rsid w:val="008F689A"/>
    <w:rsid w:val="009000E4"/>
    <w:rsid w:val="0090015A"/>
    <w:rsid w:val="0090072C"/>
    <w:rsid w:val="00900CA3"/>
    <w:rsid w:val="009011AA"/>
    <w:rsid w:val="009011E2"/>
    <w:rsid w:val="00901659"/>
    <w:rsid w:val="009017C1"/>
    <w:rsid w:val="009017C7"/>
    <w:rsid w:val="00902AC0"/>
    <w:rsid w:val="00903373"/>
    <w:rsid w:val="00903AB1"/>
    <w:rsid w:val="00903C8A"/>
    <w:rsid w:val="0090401A"/>
    <w:rsid w:val="0090457F"/>
    <w:rsid w:val="009048CE"/>
    <w:rsid w:val="00904B12"/>
    <w:rsid w:val="00904F95"/>
    <w:rsid w:val="009053AE"/>
    <w:rsid w:val="00907118"/>
    <w:rsid w:val="00910701"/>
    <w:rsid w:val="00911837"/>
    <w:rsid w:val="00911DBF"/>
    <w:rsid w:val="00913070"/>
    <w:rsid w:val="009132C6"/>
    <w:rsid w:val="009133B9"/>
    <w:rsid w:val="00913835"/>
    <w:rsid w:val="009141D6"/>
    <w:rsid w:val="009142DF"/>
    <w:rsid w:val="00914AF5"/>
    <w:rsid w:val="00915954"/>
    <w:rsid w:val="0091635A"/>
    <w:rsid w:val="0091652A"/>
    <w:rsid w:val="00916846"/>
    <w:rsid w:val="00916E69"/>
    <w:rsid w:val="0091782D"/>
    <w:rsid w:val="00917A80"/>
    <w:rsid w:val="00917BD3"/>
    <w:rsid w:val="00917DBE"/>
    <w:rsid w:val="009200CB"/>
    <w:rsid w:val="00920986"/>
    <w:rsid w:val="009212A8"/>
    <w:rsid w:val="00921411"/>
    <w:rsid w:val="0092159F"/>
    <w:rsid w:val="009216B5"/>
    <w:rsid w:val="00921AAA"/>
    <w:rsid w:val="00921E97"/>
    <w:rsid w:val="00922017"/>
    <w:rsid w:val="009226E8"/>
    <w:rsid w:val="00923199"/>
    <w:rsid w:val="00923530"/>
    <w:rsid w:val="00923D52"/>
    <w:rsid w:val="00924230"/>
    <w:rsid w:val="00924886"/>
    <w:rsid w:val="00924B2D"/>
    <w:rsid w:val="00924C48"/>
    <w:rsid w:val="00924EBF"/>
    <w:rsid w:val="0092505A"/>
    <w:rsid w:val="00925E58"/>
    <w:rsid w:val="00925E8F"/>
    <w:rsid w:val="00926010"/>
    <w:rsid w:val="009262FD"/>
    <w:rsid w:val="0092656D"/>
    <w:rsid w:val="0092727A"/>
    <w:rsid w:val="0092790A"/>
    <w:rsid w:val="00930538"/>
    <w:rsid w:val="00930DA7"/>
    <w:rsid w:val="009312A1"/>
    <w:rsid w:val="0093174D"/>
    <w:rsid w:val="00931C12"/>
    <w:rsid w:val="0093233D"/>
    <w:rsid w:val="00932855"/>
    <w:rsid w:val="009328BC"/>
    <w:rsid w:val="00932F12"/>
    <w:rsid w:val="00933117"/>
    <w:rsid w:val="009331E2"/>
    <w:rsid w:val="009332AB"/>
    <w:rsid w:val="0093346C"/>
    <w:rsid w:val="009334E5"/>
    <w:rsid w:val="009335F4"/>
    <w:rsid w:val="00933E8E"/>
    <w:rsid w:val="00934713"/>
    <w:rsid w:val="00935443"/>
    <w:rsid w:val="00935A00"/>
    <w:rsid w:val="00936020"/>
    <w:rsid w:val="00936352"/>
    <w:rsid w:val="00936CB0"/>
    <w:rsid w:val="00936FF5"/>
    <w:rsid w:val="009370E4"/>
    <w:rsid w:val="009376DD"/>
    <w:rsid w:val="009378E0"/>
    <w:rsid w:val="00940478"/>
    <w:rsid w:val="0094072B"/>
    <w:rsid w:val="009409ED"/>
    <w:rsid w:val="009415EC"/>
    <w:rsid w:val="00941A12"/>
    <w:rsid w:val="00941E76"/>
    <w:rsid w:val="0094223B"/>
    <w:rsid w:val="00942312"/>
    <w:rsid w:val="009432C1"/>
    <w:rsid w:val="00944ABE"/>
    <w:rsid w:val="00944DC6"/>
    <w:rsid w:val="00945757"/>
    <w:rsid w:val="00945C2C"/>
    <w:rsid w:val="00946804"/>
    <w:rsid w:val="00946AF6"/>
    <w:rsid w:val="00946DC6"/>
    <w:rsid w:val="00947490"/>
    <w:rsid w:val="00947EFE"/>
    <w:rsid w:val="0095174A"/>
    <w:rsid w:val="0095188E"/>
    <w:rsid w:val="00952346"/>
    <w:rsid w:val="00952AD9"/>
    <w:rsid w:val="009533DC"/>
    <w:rsid w:val="009541B5"/>
    <w:rsid w:val="00954408"/>
    <w:rsid w:val="00954813"/>
    <w:rsid w:val="00954B3C"/>
    <w:rsid w:val="00954CE8"/>
    <w:rsid w:val="009557C4"/>
    <w:rsid w:val="009569B1"/>
    <w:rsid w:val="009571AE"/>
    <w:rsid w:val="00957A6E"/>
    <w:rsid w:val="00957F5C"/>
    <w:rsid w:val="00957FE1"/>
    <w:rsid w:val="009603B5"/>
    <w:rsid w:val="009603B7"/>
    <w:rsid w:val="009609CA"/>
    <w:rsid w:val="009610D3"/>
    <w:rsid w:val="00961A98"/>
    <w:rsid w:val="00961FD6"/>
    <w:rsid w:val="00962C45"/>
    <w:rsid w:val="00963181"/>
    <w:rsid w:val="00964055"/>
    <w:rsid w:val="009648F4"/>
    <w:rsid w:val="00964BE1"/>
    <w:rsid w:val="00964D29"/>
    <w:rsid w:val="00965695"/>
    <w:rsid w:val="00965AAF"/>
    <w:rsid w:val="00966B4C"/>
    <w:rsid w:val="00966F1F"/>
    <w:rsid w:val="00967A47"/>
    <w:rsid w:val="00970A0C"/>
    <w:rsid w:val="0097145B"/>
    <w:rsid w:val="00971778"/>
    <w:rsid w:val="00971975"/>
    <w:rsid w:val="00971C15"/>
    <w:rsid w:val="00971D5F"/>
    <w:rsid w:val="009721B3"/>
    <w:rsid w:val="0097236D"/>
    <w:rsid w:val="00972C02"/>
    <w:rsid w:val="00973051"/>
    <w:rsid w:val="009732C1"/>
    <w:rsid w:val="009743D8"/>
    <w:rsid w:val="00974CC6"/>
    <w:rsid w:val="00975113"/>
    <w:rsid w:val="00975790"/>
    <w:rsid w:val="009759AD"/>
    <w:rsid w:val="00975BAE"/>
    <w:rsid w:val="00975C1D"/>
    <w:rsid w:val="00975FC4"/>
    <w:rsid w:val="009760EC"/>
    <w:rsid w:val="009763DA"/>
    <w:rsid w:val="00976D7D"/>
    <w:rsid w:val="00976E97"/>
    <w:rsid w:val="009771D4"/>
    <w:rsid w:val="009777C5"/>
    <w:rsid w:val="00977ECA"/>
    <w:rsid w:val="00980091"/>
    <w:rsid w:val="009807CB"/>
    <w:rsid w:val="00980E0B"/>
    <w:rsid w:val="00981788"/>
    <w:rsid w:val="00982CCB"/>
    <w:rsid w:val="00982DE5"/>
    <w:rsid w:val="00982F25"/>
    <w:rsid w:val="00983262"/>
    <w:rsid w:val="009834A0"/>
    <w:rsid w:val="0098526E"/>
    <w:rsid w:val="00985A9F"/>
    <w:rsid w:val="00985E9B"/>
    <w:rsid w:val="00986168"/>
    <w:rsid w:val="0098665A"/>
    <w:rsid w:val="009866E1"/>
    <w:rsid w:val="0098725B"/>
    <w:rsid w:val="00987B3D"/>
    <w:rsid w:val="00987BF7"/>
    <w:rsid w:val="0099006F"/>
    <w:rsid w:val="009906A7"/>
    <w:rsid w:val="009906D2"/>
    <w:rsid w:val="009906D5"/>
    <w:rsid w:val="00990E7D"/>
    <w:rsid w:val="00991057"/>
    <w:rsid w:val="009911B4"/>
    <w:rsid w:val="009911D0"/>
    <w:rsid w:val="00992027"/>
    <w:rsid w:val="00992296"/>
    <w:rsid w:val="009926FA"/>
    <w:rsid w:val="009927EA"/>
    <w:rsid w:val="009938FB"/>
    <w:rsid w:val="00993A14"/>
    <w:rsid w:val="00993F7E"/>
    <w:rsid w:val="00994920"/>
    <w:rsid w:val="009953B0"/>
    <w:rsid w:val="00995812"/>
    <w:rsid w:val="009962B0"/>
    <w:rsid w:val="00996314"/>
    <w:rsid w:val="00996468"/>
    <w:rsid w:val="00996B4B"/>
    <w:rsid w:val="00996D72"/>
    <w:rsid w:val="009974E2"/>
    <w:rsid w:val="0099766E"/>
    <w:rsid w:val="009A04BD"/>
    <w:rsid w:val="009A06F0"/>
    <w:rsid w:val="009A0764"/>
    <w:rsid w:val="009A12DE"/>
    <w:rsid w:val="009A1760"/>
    <w:rsid w:val="009A1B06"/>
    <w:rsid w:val="009A1DCC"/>
    <w:rsid w:val="009A30B9"/>
    <w:rsid w:val="009A3596"/>
    <w:rsid w:val="009A421D"/>
    <w:rsid w:val="009A5723"/>
    <w:rsid w:val="009A5893"/>
    <w:rsid w:val="009A5BEE"/>
    <w:rsid w:val="009A5FA2"/>
    <w:rsid w:val="009A6D6B"/>
    <w:rsid w:val="009A6E24"/>
    <w:rsid w:val="009A70A2"/>
    <w:rsid w:val="009B02DD"/>
    <w:rsid w:val="009B040C"/>
    <w:rsid w:val="009B04C3"/>
    <w:rsid w:val="009B07EF"/>
    <w:rsid w:val="009B0DA5"/>
    <w:rsid w:val="009B1B2F"/>
    <w:rsid w:val="009B29B4"/>
    <w:rsid w:val="009B31F0"/>
    <w:rsid w:val="009B371E"/>
    <w:rsid w:val="009B41D8"/>
    <w:rsid w:val="009B46A7"/>
    <w:rsid w:val="009B4D6C"/>
    <w:rsid w:val="009B6058"/>
    <w:rsid w:val="009B62EE"/>
    <w:rsid w:val="009B6463"/>
    <w:rsid w:val="009B67D1"/>
    <w:rsid w:val="009B7065"/>
    <w:rsid w:val="009B77B7"/>
    <w:rsid w:val="009B7A9E"/>
    <w:rsid w:val="009B7EAB"/>
    <w:rsid w:val="009C146C"/>
    <w:rsid w:val="009C1ADA"/>
    <w:rsid w:val="009C21BB"/>
    <w:rsid w:val="009C2B2A"/>
    <w:rsid w:val="009C33E8"/>
    <w:rsid w:val="009C35AD"/>
    <w:rsid w:val="009C39C9"/>
    <w:rsid w:val="009C417B"/>
    <w:rsid w:val="009C4568"/>
    <w:rsid w:val="009C61E3"/>
    <w:rsid w:val="009C6564"/>
    <w:rsid w:val="009C67CB"/>
    <w:rsid w:val="009C6B61"/>
    <w:rsid w:val="009C710E"/>
    <w:rsid w:val="009D1398"/>
    <w:rsid w:val="009D15E5"/>
    <w:rsid w:val="009D1798"/>
    <w:rsid w:val="009D1F3C"/>
    <w:rsid w:val="009D2207"/>
    <w:rsid w:val="009D250F"/>
    <w:rsid w:val="009D2539"/>
    <w:rsid w:val="009D2748"/>
    <w:rsid w:val="009D2A48"/>
    <w:rsid w:val="009D2B9E"/>
    <w:rsid w:val="009D2EBF"/>
    <w:rsid w:val="009D3209"/>
    <w:rsid w:val="009D3445"/>
    <w:rsid w:val="009D3C95"/>
    <w:rsid w:val="009D4945"/>
    <w:rsid w:val="009D4EF0"/>
    <w:rsid w:val="009D4FC6"/>
    <w:rsid w:val="009D603F"/>
    <w:rsid w:val="009D64DE"/>
    <w:rsid w:val="009D73CC"/>
    <w:rsid w:val="009D77E4"/>
    <w:rsid w:val="009E0164"/>
    <w:rsid w:val="009E032B"/>
    <w:rsid w:val="009E0E4A"/>
    <w:rsid w:val="009E103A"/>
    <w:rsid w:val="009E1293"/>
    <w:rsid w:val="009E1497"/>
    <w:rsid w:val="009E21A7"/>
    <w:rsid w:val="009E2DF0"/>
    <w:rsid w:val="009E37D0"/>
    <w:rsid w:val="009E5145"/>
    <w:rsid w:val="009E5512"/>
    <w:rsid w:val="009E6284"/>
    <w:rsid w:val="009E695B"/>
    <w:rsid w:val="009E7BF9"/>
    <w:rsid w:val="009E7C1F"/>
    <w:rsid w:val="009F0227"/>
    <w:rsid w:val="009F1802"/>
    <w:rsid w:val="009F19AA"/>
    <w:rsid w:val="009F19FB"/>
    <w:rsid w:val="009F20E2"/>
    <w:rsid w:val="009F20FF"/>
    <w:rsid w:val="009F2AEC"/>
    <w:rsid w:val="009F2B9A"/>
    <w:rsid w:val="009F2DF2"/>
    <w:rsid w:val="009F368E"/>
    <w:rsid w:val="009F39D8"/>
    <w:rsid w:val="009F41A4"/>
    <w:rsid w:val="009F48AA"/>
    <w:rsid w:val="009F4B7E"/>
    <w:rsid w:val="009F4BBC"/>
    <w:rsid w:val="009F4C83"/>
    <w:rsid w:val="009F4D60"/>
    <w:rsid w:val="009F4DA8"/>
    <w:rsid w:val="009F4F76"/>
    <w:rsid w:val="009F52D3"/>
    <w:rsid w:val="009F5ADF"/>
    <w:rsid w:val="009F6D32"/>
    <w:rsid w:val="009F6E4C"/>
    <w:rsid w:val="009F7BA5"/>
    <w:rsid w:val="00A00601"/>
    <w:rsid w:val="00A0081E"/>
    <w:rsid w:val="00A02277"/>
    <w:rsid w:val="00A02BA8"/>
    <w:rsid w:val="00A036FA"/>
    <w:rsid w:val="00A03D32"/>
    <w:rsid w:val="00A03F53"/>
    <w:rsid w:val="00A040CE"/>
    <w:rsid w:val="00A04322"/>
    <w:rsid w:val="00A05307"/>
    <w:rsid w:val="00A05489"/>
    <w:rsid w:val="00A05D9B"/>
    <w:rsid w:val="00A05E2C"/>
    <w:rsid w:val="00A06047"/>
    <w:rsid w:val="00A0670E"/>
    <w:rsid w:val="00A075F6"/>
    <w:rsid w:val="00A07FB6"/>
    <w:rsid w:val="00A10ACB"/>
    <w:rsid w:val="00A10BA4"/>
    <w:rsid w:val="00A10E9C"/>
    <w:rsid w:val="00A1121F"/>
    <w:rsid w:val="00A119CE"/>
    <w:rsid w:val="00A11A4F"/>
    <w:rsid w:val="00A11A63"/>
    <w:rsid w:val="00A126A9"/>
    <w:rsid w:val="00A12816"/>
    <w:rsid w:val="00A13265"/>
    <w:rsid w:val="00A13F34"/>
    <w:rsid w:val="00A14788"/>
    <w:rsid w:val="00A14C90"/>
    <w:rsid w:val="00A15A52"/>
    <w:rsid w:val="00A15F0A"/>
    <w:rsid w:val="00A16A0C"/>
    <w:rsid w:val="00A16AD0"/>
    <w:rsid w:val="00A179DA"/>
    <w:rsid w:val="00A2156B"/>
    <w:rsid w:val="00A21E2A"/>
    <w:rsid w:val="00A22055"/>
    <w:rsid w:val="00A2252F"/>
    <w:rsid w:val="00A22860"/>
    <w:rsid w:val="00A22F75"/>
    <w:rsid w:val="00A22FAF"/>
    <w:rsid w:val="00A2345F"/>
    <w:rsid w:val="00A23536"/>
    <w:rsid w:val="00A23C48"/>
    <w:rsid w:val="00A24484"/>
    <w:rsid w:val="00A24B2D"/>
    <w:rsid w:val="00A24E4C"/>
    <w:rsid w:val="00A258C4"/>
    <w:rsid w:val="00A25B18"/>
    <w:rsid w:val="00A25E4B"/>
    <w:rsid w:val="00A26D05"/>
    <w:rsid w:val="00A27268"/>
    <w:rsid w:val="00A27BAD"/>
    <w:rsid w:val="00A30F88"/>
    <w:rsid w:val="00A3154A"/>
    <w:rsid w:val="00A3186A"/>
    <w:rsid w:val="00A3193B"/>
    <w:rsid w:val="00A31E88"/>
    <w:rsid w:val="00A3278D"/>
    <w:rsid w:val="00A32B0B"/>
    <w:rsid w:val="00A32B1E"/>
    <w:rsid w:val="00A340A5"/>
    <w:rsid w:val="00A34139"/>
    <w:rsid w:val="00A3479B"/>
    <w:rsid w:val="00A34F24"/>
    <w:rsid w:val="00A35288"/>
    <w:rsid w:val="00A355BE"/>
    <w:rsid w:val="00A35603"/>
    <w:rsid w:val="00A35924"/>
    <w:rsid w:val="00A35F9F"/>
    <w:rsid w:val="00A3640F"/>
    <w:rsid w:val="00A36869"/>
    <w:rsid w:val="00A37387"/>
    <w:rsid w:val="00A409F1"/>
    <w:rsid w:val="00A40DDF"/>
    <w:rsid w:val="00A41497"/>
    <w:rsid w:val="00A41722"/>
    <w:rsid w:val="00A41949"/>
    <w:rsid w:val="00A41B13"/>
    <w:rsid w:val="00A41F0F"/>
    <w:rsid w:val="00A424B6"/>
    <w:rsid w:val="00A43D6D"/>
    <w:rsid w:val="00A44414"/>
    <w:rsid w:val="00A446D8"/>
    <w:rsid w:val="00A45B3F"/>
    <w:rsid w:val="00A45FB3"/>
    <w:rsid w:val="00A46702"/>
    <w:rsid w:val="00A46BDD"/>
    <w:rsid w:val="00A46D81"/>
    <w:rsid w:val="00A47561"/>
    <w:rsid w:val="00A50091"/>
    <w:rsid w:val="00A5056B"/>
    <w:rsid w:val="00A50686"/>
    <w:rsid w:val="00A50B92"/>
    <w:rsid w:val="00A51873"/>
    <w:rsid w:val="00A51B48"/>
    <w:rsid w:val="00A51F10"/>
    <w:rsid w:val="00A521E6"/>
    <w:rsid w:val="00A536ED"/>
    <w:rsid w:val="00A53B07"/>
    <w:rsid w:val="00A541C1"/>
    <w:rsid w:val="00A54E7D"/>
    <w:rsid w:val="00A54F9C"/>
    <w:rsid w:val="00A55351"/>
    <w:rsid w:val="00A561BD"/>
    <w:rsid w:val="00A56BA8"/>
    <w:rsid w:val="00A57269"/>
    <w:rsid w:val="00A572D6"/>
    <w:rsid w:val="00A57693"/>
    <w:rsid w:val="00A6059F"/>
    <w:rsid w:val="00A60720"/>
    <w:rsid w:val="00A61FDE"/>
    <w:rsid w:val="00A62068"/>
    <w:rsid w:val="00A6343C"/>
    <w:rsid w:val="00A636BF"/>
    <w:rsid w:val="00A63CDB"/>
    <w:rsid w:val="00A6509E"/>
    <w:rsid w:val="00A650BE"/>
    <w:rsid w:val="00A6617C"/>
    <w:rsid w:val="00A669A9"/>
    <w:rsid w:val="00A673E8"/>
    <w:rsid w:val="00A67EBA"/>
    <w:rsid w:val="00A7074A"/>
    <w:rsid w:val="00A70F02"/>
    <w:rsid w:val="00A71AA0"/>
    <w:rsid w:val="00A72433"/>
    <w:rsid w:val="00A725DD"/>
    <w:rsid w:val="00A72BEF"/>
    <w:rsid w:val="00A7304D"/>
    <w:rsid w:val="00A74059"/>
    <w:rsid w:val="00A7450A"/>
    <w:rsid w:val="00A74F31"/>
    <w:rsid w:val="00A754F3"/>
    <w:rsid w:val="00A756F6"/>
    <w:rsid w:val="00A76042"/>
    <w:rsid w:val="00A777F1"/>
    <w:rsid w:val="00A77B01"/>
    <w:rsid w:val="00A80070"/>
    <w:rsid w:val="00A802E0"/>
    <w:rsid w:val="00A806C5"/>
    <w:rsid w:val="00A81025"/>
    <w:rsid w:val="00A812FA"/>
    <w:rsid w:val="00A81314"/>
    <w:rsid w:val="00A8146D"/>
    <w:rsid w:val="00A8166B"/>
    <w:rsid w:val="00A82227"/>
    <w:rsid w:val="00A82780"/>
    <w:rsid w:val="00A82877"/>
    <w:rsid w:val="00A8379F"/>
    <w:rsid w:val="00A837CF"/>
    <w:rsid w:val="00A839C1"/>
    <w:rsid w:val="00A83EF0"/>
    <w:rsid w:val="00A83FFE"/>
    <w:rsid w:val="00A84D99"/>
    <w:rsid w:val="00A85571"/>
    <w:rsid w:val="00A85F71"/>
    <w:rsid w:val="00A862DA"/>
    <w:rsid w:val="00A86C05"/>
    <w:rsid w:val="00A86FF7"/>
    <w:rsid w:val="00A87075"/>
    <w:rsid w:val="00A87D57"/>
    <w:rsid w:val="00A9115E"/>
    <w:rsid w:val="00A91B75"/>
    <w:rsid w:val="00A92512"/>
    <w:rsid w:val="00A925C5"/>
    <w:rsid w:val="00A92741"/>
    <w:rsid w:val="00A92AA8"/>
    <w:rsid w:val="00A939D0"/>
    <w:rsid w:val="00A95654"/>
    <w:rsid w:val="00A9580B"/>
    <w:rsid w:val="00A95C77"/>
    <w:rsid w:val="00A95F15"/>
    <w:rsid w:val="00A9673A"/>
    <w:rsid w:val="00A96931"/>
    <w:rsid w:val="00A96941"/>
    <w:rsid w:val="00A97621"/>
    <w:rsid w:val="00A97B45"/>
    <w:rsid w:val="00AA0394"/>
    <w:rsid w:val="00AA0577"/>
    <w:rsid w:val="00AA09BE"/>
    <w:rsid w:val="00AA0A21"/>
    <w:rsid w:val="00AA1681"/>
    <w:rsid w:val="00AA1AC2"/>
    <w:rsid w:val="00AA1E9E"/>
    <w:rsid w:val="00AA1F2E"/>
    <w:rsid w:val="00AA21C2"/>
    <w:rsid w:val="00AA266E"/>
    <w:rsid w:val="00AA2A3C"/>
    <w:rsid w:val="00AA31C3"/>
    <w:rsid w:val="00AA3238"/>
    <w:rsid w:val="00AA3247"/>
    <w:rsid w:val="00AA366B"/>
    <w:rsid w:val="00AA41ED"/>
    <w:rsid w:val="00AA4570"/>
    <w:rsid w:val="00AA4D37"/>
    <w:rsid w:val="00AA6102"/>
    <w:rsid w:val="00AA6ACF"/>
    <w:rsid w:val="00AA6DDF"/>
    <w:rsid w:val="00AA7902"/>
    <w:rsid w:val="00AA7ED1"/>
    <w:rsid w:val="00AA7FFD"/>
    <w:rsid w:val="00AB0F9E"/>
    <w:rsid w:val="00AB17A4"/>
    <w:rsid w:val="00AB239A"/>
    <w:rsid w:val="00AB2FCF"/>
    <w:rsid w:val="00AB428E"/>
    <w:rsid w:val="00AB4868"/>
    <w:rsid w:val="00AB4A92"/>
    <w:rsid w:val="00AB4AA0"/>
    <w:rsid w:val="00AB4C85"/>
    <w:rsid w:val="00AB51A1"/>
    <w:rsid w:val="00AB5D8D"/>
    <w:rsid w:val="00AB5E47"/>
    <w:rsid w:val="00AB7BA3"/>
    <w:rsid w:val="00AB7BF4"/>
    <w:rsid w:val="00AB7D06"/>
    <w:rsid w:val="00AC0233"/>
    <w:rsid w:val="00AC06C9"/>
    <w:rsid w:val="00AC0D86"/>
    <w:rsid w:val="00AC152D"/>
    <w:rsid w:val="00AC17BA"/>
    <w:rsid w:val="00AC1B9C"/>
    <w:rsid w:val="00AC2388"/>
    <w:rsid w:val="00AC23E8"/>
    <w:rsid w:val="00AC2415"/>
    <w:rsid w:val="00AC39E4"/>
    <w:rsid w:val="00AC3CB8"/>
    <w:rsid w:val="00AC3EE3"/>
    <w:rsid w:val="00AC4273"/>
    <w:rsid w:val="00AC42E6"/>
    <w:rsid w:val="00AC43D8"/>
    <w:rsid w:val="00AC465C"/>
    <w:rsid w:val="00AC4AF2"/>
    <w:rsid w:val="00AC5250"/>
    <w:rsid w:val="00AC548A"/>
    <w:rsid w:val="00AC5495"/>
    <w:rsid w:val="00AC5910"/>
    <w:rsid w:val="00AC5A77"/>
    <w:rsid w:val="00AC6379"/>
    <w:rsid w:val="00AC67DE"/>
    <w:rsid w:val="00AC68DA"/>
    <w:rsid w:val="00AC6B6F"/>
    <w:rsid w:val="00AC788F"/>
    <w:rsid w:val="00AC7A28"/>
    <w:rsid w:val="00AC7C36"/>
    <w:rsid w:val="00AC7D71"/>
    <w:rsid w:val="00AD0056"/>
    <w:rsid w:val="00AD092C"/>
    <w:rsid w:val="00AD0E02"/>
    <w:rsid w:val="00AD12BE"/>
    <w:rsid w:val="00AD14EA"/>
    <w:rsid w:val="00AD2039"/>
    <w:rsid w:val="00AD3EAF"/>
    <w:rsid w:val="00AD554C"/>
    <w:rsid w:val="00AD574D"/>
    <w:rsid w:val="00AD59AF"/>
    <w:rsid w:val="00AD5ABD"/>
    <w:rsid w:val="00AD702A"/>
    <w:rsid w:val="00AD7184"/>
    <w:rsid w:val="00AD7864"/>
    <w:rsid w:val="00AD7C5A"/>
    <w:rsid w:val="00AE0A17"/>
    <w:rsid w:val="00AE1C11"/>
    <w:rsid w:val="00AE2371"/>
    <w:rsid w:val="00AE23AB"/>
    <w:rsid w:val="00AE2B96"/>
    <w:rsid w:val="00AE2D47"/>
    <w:rsid w:val="00AE2DEC"/>
    <w:rsid w:val="00AE36E0"/>
    <w:rsid w:val="00AE38BD"/>
    <w:rsid w:val="00AE3BDA"/>
    <w:rsid w:val="00AE3C2F"/>
    <w:rsid w:val="00AE443C"/>
    <w:rsid w:val="00AE5180"/>
    <w:rsid w:val="00AE5496"/>
    <w:rsid w:val="00AE54C5"/>
    <w:rsid w:val="00AE5B53"/>
    <w:rsid w:val="00AE66D2"/>
    <w:rsid w:val="00AE6A8D"/>
    <w:rsid w:val="00AE73C7"/>
    <w:rsid w:val="00AF0A2C"/>
    <w:rsid w:val="00AF1B95"/>
    <w:rsid w:val="00AF3777"/>
    <w:rsid w:val="00AF39B0"/>
    <w:rsid w:val="00AF40ED"/>
    <w:rsid w:val="00AF5061"/>
    <w:rsid w:val="00AF5D70"/>
    <w:rsid w:val="00AF6785"/>
    <w:rsid w:val="00AF720D"/>
    <w:rsid w:val="00AF7605"/>
    <w:rsid w:val="00AF784F"/>
    <w:rsid w:val="00AF7BC6"/>
    <w:rsid w:val="00B009F3"/>
    <w:rsid w:val="00B00AFF"/>
    <w:rsid w:val="00B00C62"/>
    <w:rsid w:val="00B0153B"/>
    <w:rsid w:val="00B0154E"/>
    <w:rsid w:val="00B01D6A"/>
    <w:rsid w:val="00B01FD2"/>
    <w:rsid w:val="00B02420"/>
    <w:rsid w:val="00B0339E"/>
    <w:rsid w:val="00B03CB7"/>
    <w:rsid w:val="00B03D32"/>
    <w:rsid w:val="00B03D6A"/>
    <w:rsid w:val="00B0487E"/>
    <w:rsid w:val="00B0554E"/>
    <w:rsid w:val="00B05E43"/>
    <w:rsid w:val="00B06584"/>
    <w:rsid w:val="00B0696C"/>
    <w:rsid w:val="00B06C4D"/>
    <w:rsid w:val="00B07134"/>
    <w:rsid w:val="00B07A0A"/>
    <w:rsid w:val="00B07B75"/>
    <w:rsid w:val="00B07DF6"/>
    <w:rsid w:val="00B1093D"/>
    <w:rsid w:val="00B11A1C"/>
    <w:rsid w:val="00B12AE8"/>
    <w:rsid w:val="00B12B6D"/>
    <w:rsid w:val="00B12F7A"/>
    <w:rsid w:val="00B13AC0"/>
    <w:rsid w:val="00B13C95"/>
    <w:rsid w:val="00B13F03"/>
    <w:rsid w:val="00B14455"/>
    <w:rsid w:val="00B14ACA"/>
    <w:rsid w:val="00B14D62"/>
    <w:rsid w:val="00B1525C"/>
    <w:rsid w:val="00B15BA1"/>
    <w:rsid w:val="00B15DE4"/>
    <w:rsid w:val="00B162D4"/>
    <w:rsid w:val="00B16818"/>
    <w:rsid w:val="00B16F0C"/>
    <w:rsid w:val="00B17661"/>
    <w:rsid w:val="00B17F39"/>
    <w:rsid w:val="00B2010B"/>
    <w:rsid w:val="00B202BF"/>
    <w:rsid w:val="00B20B94"/>
    <w:rsid w:val="00B2130E"/>
    <w:rsid w:val="00B21653"/>
    <w:rsid w:val="00B21B64"/>
    <w:rsid w:val="00B23A65"/>
    <w:rsid w:val="00B24726"/>
    <w:rsid w:val="00B24A1B"/>
    <w:rsid w:val="00B24BEA"/>
    <w:rsid w:val="00B24CE3"/>
    <w:rsid w:val="00B25045"/>
    <w:rsid w:val="00B2541D"/>
    <w:rsid w:val="00B2593A"/>
    <w:rsid w:val="00B2620A"/>
    <w:rsid w:val="00B26692"/>
    <w:rsid w:val="00B2670A"/>
    <w:rsid w:val="00B26E30"/>
    <w:rsid w:val="00B30157"/>
    <w:rsid w:val="00B30A8C"/>
    <w:rsid w:val="00B30CD1"/>
    <w:rsid w:val="00B30DF5"/>
    <w:rsid w:val="00B315D6"/>
    <w:rsid w:val="00B322CF"/>
    <w:rsid w:val="00B33747"/>
    <w:rsid w:val="00B33A30"/>
    <w:rsid w:val="00B34038"/>
    <w:rsid w:val="00B341F2"/>
    <w:rsid w:val="00B343D8"/>
    <w:rsid w:val="00B34694"/>
    <w:rsid w:val="00B3494A"/>
    <w:rsid w:val="00B34B06"/>
    <w:rsid w:val="00B35462"/>
    <w:rsid w:val="00B35D98"/>
    <w:rsid w:val="00B3650B"/>
    <w:rsid w:val="00B36BCA"/>
    <w:rsid w:val="00B36BE6"/>
    <w:rsid w:val="00B36C3F"/>
    <w:rsid w:val="00B36CD6"/>
    <w:rsid w:val="00B37383"/>
    <w:rsid w:val="00B3772B"/>
    <w:rsid w:val="00B37C9E"/>
    <w:rsid w:val="00B37D91"/>
    <w:rsid w:val="00B40174"/>
    <w:rsid w:val="00B403FE"/>
    <w:rsid w:val="00B40F1F"/>
    <w:rsid w:val="00B40FF6"/>
    <w:rsid w:val="00B41126"/>
    <w:rsid w:val="00B41392"/>
    <w:rsid w:val="00B431C8"/>
    <w:rsid w:val="00B438F6"/>
    <w:rsid w:val="00B439E3"/>
    <w:rsid w:val="00B43A01"/>
    <w:rsid w:val="00B44066"/>
    <w:rsid w:val="00B44334"/>
    <w:rsid w:val="00B44502"/>
    <w:rsid w:val="00B4460F"/>
    <w:rsid w:val="00B45482"/>
    <w:rsid w:val="00B4657E"/>
    <w:rsid w:val="00B4669F"/>
    <w:rsid w:val="00B470ED"/>
    <w:rsid w:val="00B47100"/>
    <w:rsid w:val="00B47255"/>
    <w:rsid w:val="00B47357"/>
    <w:rsid w:val="00B47C5F"/>
    <w:rsid w:val="00B50D5F"/>
    <w:rsid w:val="00B5222D"/>
    <w:rsid w:val="00B529B1"/>
    <w:rsid w:val="00B52A8D"/>
    <w:rsid w:val="00B52C20"/>
    <w:rsid w:val="00B52E2E"/>
    <w:rsid w:val="00B53EDA"/>
    <w:rsid w:val="00B5431C"/>
    <w:rsid w:val="00B543BB"/>
    <w:rsid w:val="00B5454C"/>
    <w:rsid w:val="00B548D7"/>
    <w:rsid w:val="00B5495C"/>
    <w:rsid w:val="00B55431"/>
    <w:rsid w:val="00B5553A"/>
    <w:rsid w:val="00B55C59"/>
    <w:rsid w:val="00B55DB7"/>
    <w:rsid w:val="00B56428"/>
    <w:rsid w:val="00B566F7"/>
    <w:rsid w:val="00B569CB"/>
    <w:rsid w:val="00B56A83"/>
    <w:rsid w:val="00B56C8D"/>
    <w:rsid w:val="00B57986"/>
    <w:rsid w:val="00B61597"/>
    <w:rsid w:val="00B615A9"/>
    <w:rsid w:val="00B61C80"/>
    <w:rsid w:val="00B61E86"/>
    <w:rsid w:val="00B61F96"/>
    <w:rsid w:val="00B62725"/>
    <w:rsid w:val="00B63B1D"/>
    <w:rsid w:val="00B6513E"/>
    <w:rsid w:val="00B65447"/>
    <w:rsid w:val="00B66E18"/>
    <w:rsid w:val="00B67174"/>
    <w:rsid w:val="00B671A3"/>
    <w:rsid w:val="00B67A33"/>
    <w:rsid w:val="00B67A65"/>
    <w:rsid w:val="00B67B4D"/>
    <w:rsid w:val="00B70AAF"/>
    <w:rsid w:val="00B7131C"/>
    <w:rsid w:val="00B7140E"/>
    <w:rsid w:val="00B7159D"/>
    <w:rsid w:val="00B71629"/>
    <w:rsid w:val="00B7198E"/>
    <w:rsid w:val="00B72138"/>
    <w:rsid w:val="00B72233"/>
    <w:rsid w:val="00B72574"/>
    <w:rsid w:val="00B72A41"/>
    <w:rsid w:val="00B72D4A"/>
    <w:rsid w:val="00B7344D"/>
    <w:rsid w:val="00B73633"/>
    <w:rsid w:val="00B73E6A"/>
    <w:rsid w:val="00B7462B"/>
    <w:rsid w:val="00B750A3"/>
    <w:rsid w:val="00B75281"/>
    <w:rsid w:val="00B75D3C"/>
    <w:rsid w:val="00B75ECF"/>
    <w:rsid w:val="00B7647C"/>
    <w:rsid w:val="00B768F7"/>
    <w:rsid w:val="00B76A65"/>
    <w:rsid w:val="00B76AAE"/>
    <w:rsid w:val="00B770FD"/>
    <w:rsid w:val="00B77556"/>
    <w:rsid w:val="00B77AF4"/>
    <w:rsid w:val="00B77CE8"/>
    <w:rsid w:val="00B77D50"/>
    <w:rsid w:val="00B77E0D"/>
    <w:rsid w:val="00B80AD0"/>
    <w:rsid w:val="00B80CC6"/>
    <w:rsid w:val="00B81CAD"/>
    <w:rsid w:val="00B81E66"/>
    <w:rsid w:val="00B8225A"/>
    <w:rsid w:val="00B82468"/>
    <w:rsid w:val="00B825FB"/>
    <w:rsid w:val="00B82815"/>
    <w:rsid w:val="00B82F77"/>
    <w:rsid w:val="00B8380D"/>
    <w:rsid w:val="00B83BD8"/>
    <w:rsid w:val="00B83DE5"/>
    <w:rsid w:val="00B83F96"/>
    <w:rsid w:val="00B84E83"/>
    <w:rsid w:val="00B858B9"/>
    <w:rsid w:val="00B85FA1"/>
    <w:rsid w:val="00B862E5"/>
    <w:rsid w:val="00B87817"/>
    <w:rsid w:val="00B87BB3"/>
    <w:rsid w:val="00B9031F"/>
    <w:rsid w:val="00B90603"/>
    <w:rsid w:val="00B90A89"/>
    <w:rsid w:val="00B90CBF"/>
    <w:rsid w:val="00B9106A"/>
    <w:rsid w:val="00B91529"/>
    <w:rsid w:val="00B91A00"/>
    <w:rsid w:val="00B91D53"/>
    <w:rsid w:val="00B92BB9"/>
    <w:rsid w:val="00B92CB9"/>
    <w:rsid w:val="00B93125"/>
    <w:rsid w:val="00B933EB"/>
    <w:rsid w:val="00B93A7B"/>
    <w:rsid w:val="00B946BC"/>
    <w:rsid w:val="00B950AE"/>
    <w:rsid w:val="00B95BA2"/>
    <w:rsid w:val="00B95D03"/>
    <w:rsid w:val="00B9709E"/>
    <w:rsid w:val="00B974E9"/>
    <w:rsid w:val="00B97B2D"/>
    <w:rsid w:val="00B97E5F"/>
    <w:rsid w:val="00B97FDC"/>
    <w:rsid w:val="00BA0C17"/>
    <w:rsid w:val="00BA0E23"/>
    <w:rsid w:val="00BA24DD"/>
    <w:rsid w:val="00BA2CCC"/>
    <w:rsid w:val="00BA2E05"/>
    <w:rsid w:val="00BA32C6"/>
    <w:rsid w:val="00BA36FD"/>
    <w:rsid w:val="00BA3BC3"/>
    <w:rsid w:val="00BA4277"/>
    <w:rsid w:val="00BA49F0"/>
    <w:rsid w:val="00BA51BE"/>
    <w:rsid w:val="00BA6080"/>
    <w:rsid w:val="00BA6444"/>
    <w:rsid w:val="00BA6B2B"/>
    <w:rsid w:val="00BA6F65"/>
    <w:rsid w:val="00BA6F86"/>
    <w:rsid w:val="00BA7222"/>
    <w:rsid w:val="00BA7743"/>
    <w:rsid w:val="00BA798E"/>
    <w:rsid w:val="00BB04F4"/>
    <w:rsid w:val="00BB1088"/>
    <w:rsid w:val="00BB1228"/>
    <w:rsid w:val="00BB17E8"/>
    <w:rsid w:val="00BB18C9"/>
    <w:rsid w:val="00BB359F"/>
    <w:rsid w:val="00BB3956"/>
    <w:rsid w:val="00BB3CA8"/>
    <w:rsid w:val="00BB44FD"/>
    <w:rsid w:val="00BB4997"/>
    <w:rsid w:val="00BB6484"/>
    <w:rsid w:val="00BB693B"/>
    <w:rsid w:val="00BB6A7B"/>
    <w:rsid w:val="00BB6D91"/>
    <w:rsid w:val="00BB77FE"/>
    <w:rsid w:val="00BB7CD2"/>
    <w:rsid w:val="00BB7D75"/>
    <w:rsid w:val="00BC02DF"/>
    <w:rsid w:val="00BC11C9"/>
    <w:rsid w:val="00BC1A16"/>
    <w:rsid w:val="00BC1E48"/>
    <w:rsid w:val="00BC2714"/>
    <w:rsid w:val="00BC39D5"/>
    <w:rsid w:val="00BC3E67"/>
    <w:rsid w:val="00BC447E"/>
    <w:rsid w:val="00BC5403"/>
    <w:rsid w:val="00BC5A9D"/>
    <w:rsid w:val="00BC6132"/>
    <w:rsid w:val="00BC6469"/>
    <w:rsid w:val="00BC66D9"/>
    <w:rsid w:val="00BC69B1"/>
    <w:rsid w:val="00BC7565"/>
    <w:rsid w:val="00BC77B2"/>
    <w:rsid w:val="00BC77C7"/>
    <w:rsid w:val="00BC7A04"/>
    <w:rsid w:val="00BD1DE8"/>
    <w:rsid w:val="00BD1E0D"/>
    <w:rsid w:val="00BD1E2F"/>
    <w:rsid w:val="00BD2429"/>
    <w:rsid w:val="00BD2FA4"/>
    <w:rsid w:val="00BD4BBA"/>
    <w:rsid w:val="00BD4CFA"/>
    <w:rsid w:val="00BD4DDA"/>
    <w:rsid w:val="00BD4F98"/>
    <w:rsid w:val="00BD6431"/>
    <w:rsid w:val="00BD68C2"/>
    <w:rsid w:val="00BD6E52"/>
    <w:rsid w:val="00BD7AAA"/>
    <w:rsid w:val="00BD7C13"/>
    <w:rsid w:val="00BD7E5C"/>
    <w:rsid w:val="00BE02B5"/>
    <w:rsid w:val="00BE05E9"/>
    <w:rsid w:val="00BE0C1A"/>
    <w:rsid w:val="00BE0CC6"/>
    <w:rsid w:val="00BE1453"/>
    <w:rsid w:val="00BE1711"/>
    <w:rsid w:val="00BE2253"/>
    <w:rsid w:val="00BE27BF"/>
    <w:rsid w:val="00BE27D9"/>
    <w:rsid w:val="00BE2A40"/>
    <w:rsid w:val="00BE4884"/>
    <w:rsid w:val="00BE49B9"/>
    <w:rsid w:val="00BE4DE0"/>
    <w:rsid w:val="00BE5ACA"/>
    <w:rsid w:val="00BE5D8E"/>
    <w:rsid w:val="00BE6050"/>
    <w:rsid w:val="00BE667C"/>
    <w:rsid w:val="00BE6B5C"/>
    <w:rsid w:val="00BE6C17"/>
    <w:rsid w:val="00BE7051"/>
    <w:rsid w:val="00BE7512"/>
    <w:rsid w:val="00BE7A0F"/>
    <w:rsid w:val="00BE7E84"/>
    <w:rsid w:val="00BF04D1"/>
    <w:rsid w:val="00BF0D65"/>
    <w:rsid w:val="00BF1357"/>
    <w:rsid w:val="00BF1959"/>
    <w:rsid w:val="00BF1BD1"/>
    <w:rsid w:val="00BF2144"/>
    <w:rsid w:val="00BF3929"/>
    <w:rsid w:val="00BF49BB"/>
    <w:rsid w:val="00BF5193"/>
    <w:rsid w:val="00BF51C7"/>
    <w:rsid w:val="00BF53DE"/>
    <w:rsid w:val="00BF552B"/>
    <w:rsid w:val="00BF6979"/>
    <w:rsid w:val="00BF75E1"/>
    <w:rsid w:val="00BF762E"/>
    <w:rsid w:val="00BF7823"/>
    <w:rsid w:val="00C00E49"/>
    <w:rsid w:val="00C01507"/>
    <w:rsid w:val="00C01612"/>
    <w:rsid w:val="00C025BD"/>
    <w:rsid w:val="00C03029"/>
    <w:rsid w:val="00C037CB"/>
    <w:rsid w:val="00C03AA7"/>
    <w:rsid w:val="00C03FB7"/>
    <w:rsid w:val="00C04608"/>
    <w:rsid w:val="00C0492D"/>
    <w:rsid w:val="00C06CF9"/>
    <w:rsid w:val="00C06D7C"/>
    <w:rsid w:val="00C075ED"/>
    <w:rsid w:val="00C07788"/>
    <w:rsid w:val="00C07CDD"/>
    <w:rsid w:val="00C07E38"/>
    <w:rsid w:val="00C07E3F"/>
    <w:rsid w:val="00C1014D"/>
    <w:rsid w:val="00C103CC"/>
    <w:rsid w:val="00C11687"/>
    <w:rsid w:val="00C11882"/>
    <w:rsid w:val="00C11A59"/>
    <w:rsid w:val="00C11DD2"/>
    <w:rsid w:val="00C1307E"/>
    <w:rsid w:val="00C13345"/>
    <w:rsid w:val="00C13858"/>
    <w:rsid w:val="00C14195"/>
    <w:rsid w:val="00C15237"/>
    <w:rsid w:val="00C15E82"/>
    <w:rsid w:val="00C15F7C"/>
    <w:rsid w:val="00C160C7"/>
    <w:rsid w:val="00C162A5"/>
    <w:rsid w:val="00C175CB"/>
    <w:rsid w:val="00C17737"/>
    <w:rsid w:val="00C17998"/>
    <w:rsid w:val="00C201B5"/>
    <w:rsid w:val="00C2060F"/>
    <w:rsid w:val="00C20786"/>
    <w:rsid w:val="00C20909"/>
    <w:rsid w:val="00C209C9"/>
    <w:rsid w:val="00C21741"/>
    <w:rsid w:val="00C22023"/>
    <w:rsid w:val="00C22430"/>
    <w:rsid w:val="00C22969"/>
    <w:rsid w:val="00C23100"/>
    <w:rsid w:val="00C244C9"/>
    <w:rsid w:val="00C258ED"/>
    <w:rsid w:val="00C25CC4"/>
    <w:rsid w:val="00C26C2D"/>
    <w:rsid w:val="00C27461"/>
    <w:rsid w:val="00C27A73"/>
    <w:rsid w:val="00C30028"/>
    <w:rsid w:val="00C30723"/>
    <w:rsid w:val="00C31E3C"/>
    <w:rsid w:val="00C32ABD"/>
    <w:rsid w:val="00C33694"/>
    <w:rsid w:val="00C3379B"/>
    <w:rsid w:val="00C3436D"/>
    <w:rsid w:val="00C3469D"/>
    <w:rsid w:val="00C34871"/>
    <w:rsid w:val="00C3498B"/>
    <w:rsid w:val="00C3542A"/>
    <w:rsid w:val="00C36B86"/>
    <w:rsid w:val="00C36C1F"/>
    <w:rsid w:val="00C375BB"/>
    <w:rsid w:val="00C37B20"/>
    <w:rsid w:val="00C37F9F"/>
    <w:rsid w:val="00C40428"/>
    <w:rsid w:val="00C40B1B"/>
    <w:rsid w:val="00C419B0"/>
    <w:rsid w:val="00C42064"/>
    <w:rsid w:val="00C42299"/>
    <w:rsid w:val="00C424FC"/>
    <w:rsid w:val="00C42C99"/>
    <w:rsid w:val="00C4311F"/>
    <w:rsid w:val="00C431B3"/>
    <w:rsid w:val="00C43F67"/>
    <w:rsid w:val="00C44F57"/>
    <w:rsid w:val="00C44FFE"/>
    <w:rsid w:val="00C45025"/>
    <w:rsid w:val="00C46108"/>
    <w:rsid w:val="00C4681F"/>
    <w:rsid w:val="00C46CA5"/>
    <w:rsid w:val="00C47197"/>
    <w:rsid w:val="00C479EA"/>
    <w:rsid w:val="00C47CE6"/>
    <w:rsid w:val="00C47DBC"/>
    <w:rsid w:val="00C47E1F"/>
    <w:rsid w:val="00C50D31"/>
    <w:rsid w:val="00C51A79"/>
    <w:rsid w:val="00C51C5B"/>
    <w:rsid w:val="00C52CFD"/>
    <w:rsid w:val="00C531E2"/>
    <w:rsid w:val="00C538CA"/>
    <w:rsid w:val="00C53F03"/>
    <w:rsid w:val="00C546DE"/>
    <w:rsid w:val="00C548A0"/>
    <w:rsid w:val="00C55126"/>
    <w:rsid w:val="00C55458"/>
    <w:rsid w:val="00C55CCA"/>
    <w:rsid w:val="00C560E0"/>
    <w:rsid w:val="00C57269"/>
    <w:rsid w:val="00C575F2"/>
    <w:rsid w:val="00C57A7F"/>
    <w:rsid w:val="00C57D4D"/>
    <w:rsid w:val="00C60721"/>
    <w:rsid w:val="00C60CB1"/>
    <w:rsid w:val="00C60EA4"/>
    <w:rsid w:val="00C60F11"/>
    <w:rsid w:val="00C6166D"/>
    <w:rsid w:val="00C625C5"/>
    <w:rsid w:val="00C628E5"/>
    <w:rsid w:val="00C63C80"/>
    <w:rsid w:val="00C64172"/>
    <w:rsid w:val="00C65A8E"/>
    <w:rsid w:val="00C6665C"/>
    <w:rsid w:val="00C66FB1"/>
    <w:rsid w:val="00C67233"/>
    <w:rsid w:val="00C67342"/>
    <w:rsid w:val="00C67784"/>
    <w:rsid w:val="00C7020D"/>
    <w:rsid w:val="00C71B08"/>
    <w:rsid w:val="00C71CB7"/>
    <w:rsid w:val="00C72CDD"/>
    <w:rsid w:val="00C72EFD"/>
    <w:rsid w:val="00C73406"/>
    <w:rsid w:val="00C74B6E"/>
    <w:rsid w:val="00C74D43"/>
    <w:rsid w:val="00C75A45"/>
    <w:rsid w:val="00C76EDF"/>
    <w:rsid w:val="00C77128"/>
    <w:rsid w:val="00C80B49"/>
    <w:rsid w:val="00C81DA5"/>
    <w:rsid w:val="00C8207B"/>
    <w:rsid w:val="00C821AE"/>
    <w:rsid w:val="00C82BD5"/>
    <w:rsid w:val="00C82E23"/>
    <w:rsid w:val="00C84464"/>
    <w:rsid w:val="00C85111"/>
    <w:rsid w:val="00C851E6"/>
    <w:rsid w:val="00C853B2"/>
    <w:rsid w:val="00C86074"/>
    <w:rsid w:val="00C86189"/>
    <w:rsid w:val="00C8639D"/>
    <w:rsid w:val="00C86878"/>
    <w:rsid w:val="00C86973"/>
    <w:rsid w:val="00C86E75"/>
    <w:rsid w:val="00C86F2A"/>
    <w:rsid w:val="00C8774B"/>
    <w:rsid w:val="00C87AF6"/>
    <w:rsid w:val="00C900E2"/>
    <w:rsid w:val="00C901E7"/>
    <w:rsid w:val="00C9043B"/>
    <w:rsid w:val="00C90489"/>
    <w:rsid w:val="00C90A25"/>
    <w:rsid w:val="00C90B01"/>
    <w:rsid w:val="00C90B9E"/>
    <w:rsid w:val="00C90D44"/>
    <w:rsid w:val="00C911DF"/>
    <w:rsid w:val="00C914E9"/>
    <w:rsid w:val="00C91F24"/>
    <w:rsid w:val="00C934F9"/>
    <w:rsid w:val="00C93A5F"/>
    <w:rsid w:val="00C946CF"/>
    <w:rsid w:val="00C949CC"/>
    <w:rsid w:val="00C94E4B"/>
    <w:rsid w:val="00C95D4A"/>
    <w:rsid w:val="00C96C2B"/>
    <w:rsid w:val="00C96C62"/>
    <w:rsid w:val="00C97A4D"/>
    <w:rsid w:val="00CA03F7"/>
    <w:rsid w:val="00CA094A"/>
    <w:rsid w:val="00CA1003"/>
    <w:rsid w:val="00CA1F52"/>
    <w:rsid w:val="00CA215D"/>
    <w:rsid w:val="00CA2851"/>
    <w:rsid w:val="00CA2FD2"/>
    <w:rsid w:val="00CA38D0"/>
    <w:rsid w:val="00CA3901"/>
    <w:rsid w:val="00CA3C3F"/>
    <w:rsid w:val="00CA3D77"/>
    <w:rsid w:val="00CA431D"/>
    <w:rsid w:val="00CA486A"/>
    <w:rsid w:val="00CA4BB2"/>
    <w:rsid w:val="00CA5A33"/>
    <w:rsid w:val="00CA5B1D"/>
    <w:rsid w:val="00CA5C2C"/>
    <w:rsid w:val="00CA5CA9"/>
    <w:rsid w:val="00CA5D30"/>
    <w:rsid w:val="00CA657F"/>
    <w:rsid w:val="00CA737D"/>
    <w:rsid w:val="00CA750B"/>
    <w:rsid w:val="00CA7963"/>
    <w:rsid w:val="00CB0A1C"/>
    <w:rsid w:val="00CB10B8"/>
    <w:rsid w:val="00CB12E5"/>
    <w:rsid w:val="00CB17B4"/>
    <w:rsid w:val="00CB2089"/>
    <w:rsid w:val="00CB25DD"/>
    <w:rsid w:val="00CB28D2"/>
    <w:rsid w:val="00CB3DB1"/>
    <w:rsid w:val="00CB4415"/>
    <w:rsid w:val="00CB471F"/>
    <w:rsid w:val="00CB4CA5"/>
    <w:rsid w:val="00CB58FD"/>
    <w:rsid w:val="00CB663B"/>
    <w:rsid w:val="00CB690E"/>
    <w:rsid w:val="00CB6B81"/>
    <w:rsid w:val="00CB6ECC"/>
    <w:rsid w:val="00CB75F0"/>
    <w:rsid w:val="00CB7F69"/>
    <w:rsid w:val="00CC0790"/>
    <w:rsid w:val="00CC0F65"/>
    <w:rsid w:val="00CC1033"/>
    <w:rsid w:val="00CC10FC"/>
    <w:rsid w:val="00CC1385"/>
    <w:rsid w:val="00CC13A2"/>
    <w:rsid w:val="00CC175D"/>
    <w:rsid w:val="00CC1DF2"/>
    <w:rsid w:val="00CC297C"/>
    <w:rsid w:val="00CC2CED"/>
    <w:rsid w:val="00CC2F91"/>
    <w:rsid w:val="00CC38D4"/>
    <w:rsid w:val="00CC3BD4"/>
    <w:rsid w:val="00CC46CD"/>
    <w:rsid w:val="00CC5489"/>
    <w:rsid w:val="00CC6540"/>
    <w:rsid w:val="00CC6632"/>
    <w:rsid w:val="00CC694C"/>
    <w:rsid w:val="00CC7353"/>
    <w:rsid w:val="00CC7472"/>
    <w:rsid w:val="00CC76FB"/>
    <w:rsid w:val="00CC7B43"/>
    <w:rsid w:val="00CD0C6C"/>
    <w:rsid w:val="00CD0D96"/>
    <w:rsid w:val="00CD16F9"/>
    <w:rsid w:val="00CD1912"/>
    <w:rsid w:val="00CD2EDC"/>
    <w:rsid w:val="00CD37F6"/>
    <w:rsid w:val="00CD3FD4"/>
    <w:rsid w:val="00CD4716"/>
    <w:rsid w:val="00CD4ADA"/>
    <w:rsid w:val="00CD4E05"/>
    <w:rsid w:val="00CD57F0"/>
    <w:rsid w:val="00CD6B43"/>
    <w:rsid w:val="00CD70AA"/>
    <w:rsid w:val="00CD7166"/>
    <w:rsid w:val="00CD7262"/>
    <w:rsid w:val="00CD73F6"/>
    <w:rsid w:val="00CD7863"/>
    <w:rsid w:val="00CD79CE"/>
    <w:rsid w:val="00CD7AED"/>
    <w:rsid w:val="00CD7CA3"/>
    <w:rsid w:val="00CE0830"/>
    <w:rsid w:val="00CE0EB2"/>
    <w:rsid w:val="00CE113B"/>
    <w:rsid w:val="00CE175E"/>
    <w:rsid w:val="00CE2CD1"/>
    <w:rsid w:val="00CE3022"/>
    <w:rsid w:val="00CE3331"/>
    <w:rsid w:val="00CE3541"/>
    <w:rsid w:val="00CE382B"/>
    <w:rsid w:val="00CE468F"/>
    <w:rsid w:val="00CE4BC2"/>
    <w:rsid w:val="00CE5E13"/>
    <w:rsid w:val="00CE648C"/>
    <w:rsid w:val="00CE686B"/>
    <w:rsid w:val="00CE6A53"/>
    <w:rsid w:val="00CE6BEC"/>
    <w:rsid w:val="00CE73B9"/>
    <w:rsid w:val="00CE75EA"/>
    <w:rsid w:val="00CE7DC5"/>
    <w:rsid w:val="00CF006A"/>
    <w:rsid w:val="00CF15F9"/>
    <w:rsid w:val="00CF1CC3"/>
    <w:rsid w:val="00CF22E6"/>
    <w:rsid w:val="00CF2912"/>
    <w:rsid w:val="00CF2ABA"/>
    <w:rsid w:val="00CF2BE9"/>
    <w:rsid w:val="00CF2D51"/>
    <w:rsid w:val="00CF2E66"/>
    <w:rsid w:val="00CF3535"/>
    <w:rsid w:val="00CF37B4"/>
    <w:rsid w:val="00CF3977"/>
    <w:rsid w:val="00CF3A22"/>
    <w:rsid w:val="00CF434D"/>
    <w:rsid w:val="00CF48BB"/>
    <w:rsid w:val="00CF4D1B"/>
    <w:rsid w:val="00CF54FD"/>
    <w:rsid w:val="00CF568F"/>
    <w:rsid w:val="00CF5959"/>
    <w:rsid w:val="00CF5CB5"/>
    <w:rsid w:val="00CF6417"/>
    <w:rsid w:val="00CF6AD1"/>
    <w:rsid w:val="00CF6FEC"/>
    <w:rsid w:val="00CF700C"/>
    <w:rsid w:val="00CF722C"/>
    <w:rsid w:val="00CF72FD"/>
    <w:rsid w:val="00D00370"/>
    <w:rsid w:val="00D007A9"/>
    <w:rsid w:val="00D014C6"/>
    <w:rsid w:val="00D01F13"/>
    <w:rsid w:val="00D03269"/>
    <w:rsid w:val="00D03B66"/>
    <w:rsid w:val="00D03D65"/>
    <w:rsid w:val="00D03E20"/>
    <w:rsid w:val="00D04271"/>
    <w:rsid w:val="00D055DA"/>
    <w:rsid w:val="00D0630C"/>
    <w:rsid w:val="00D07235"/>
    <w:rsid w:val="00D07C4B"/>
    <w:rsid w:val="00D07DA3"/>
    <w:rsid w:val="00D101FC"/>
    <w:rsid w:val="00D10545"/>
    <w:rsid w:val="00D105DE"/>
    <w:rsid w:val="00D105FB"/>
    <w:rsid w:val="00D106D5"/>
    <w:rsid w:val="00D1091E"/>
    <w:rsid w:val="00D11127"/>
    <w:rsid w:val="00D11ADB"/>
    <w:rsid w:val="00D11C99"/>
    <w:rsid w:val="00D139A9"/>
    <w:rsid w:val="00D139DF"/>
    <w:rsid w:val="00D14824"/>
    <w:rsid w:val="00D1504C"/>
    <w:rsid w:val="00D15554"/>
    <w:rsid w:val="00D15ACD"/>
    <w:rsid w:val="00D15E2B"/>
    <w:rsid w:val="00D16130"/>
    <w:rsid w:val="00D1663F"/>
    <w:rsid w:val="00D172D0"/>
    <w:rsid w:val="00D179A9"/>
    <w:rsid w:val="00D17AE3"/>
    <w:rsid w:val="00D2024E"/>
    <w:rsid w:val="00D21181"/>
    <w:rsid w:val="00D21C9F"/>
    <w:rsid w:val="00D21EEB"/>
    <w:rsid w:val="00D21FDB"/>
    <w:rsid w:val="00D228C9"/>
    <w:rsid w:val="00D22A45"/>
    <w:rsid w:val="00D22F8A"/>
    <w:rsid w:val="00D233FF"/>
    <w:rsid w:val="00D240E7"/>
    <w:rsid w:val="00D2446C"/>
    <w:rsid w:val="00D24B4C"/>
    <w:rsid w:val="00D255DF"/>
    <w:rsid w:val="00D25D09"/>
    <w:rsid w:val="00D301E9"/>
    <w:rsid w:val="00D3189E"/>
    <w:rsid w:val="00D328C2"/>
    <w:rsid w:val="00D32BCF"/>
    <w:rsid w:val="00D333A6"/>
    <w:rsid w:val="00D333D4"/>
    <w:rsid w:val="00D33EE6"/>
    <w:rsid w:val="00D33FD1"/>
    <w:rsid w:val="00D344FC"/>
    <w:rsid w:val="00D34933"/>
    <w:rsid w:val="00D34E02"/>
    <w:rsid w:val="00D360F0"/>
    <w:rsid w:val="00D3674F"/>
    <w:rsid w:val="00D36A8B"/>
    <w:rsid w:val="00D36BE9"/>
    <w:rsid w:val="00D372B9"/>
    <w:rsid w:val="00D37D7E"/>
    <w:rsid w:val="00D402E5"/>
    <w:rsid w:val="00D40598"/>
    <w:rsid w:val="00D40D96"/>
    <w:rsid w:val="00D41F08"/>
    <w:rsid w:val="00D42124"/>
    <w:rsid w:val="00D42E69"/>
    <w:rsid w:val="00D43365"/>
    <w:rsid w:val="00D44391"/>
    <w:rsid w:val="00D44772"/>
    <w:rsid w:val="00D44E8A"/>
    <w:rsid w:val="00D451BC"/>
    <w:rsid w:val="00D45535"/>
    <w:rsid w:val="00D45934"/>
    <w:rsid w:val="00D45DA1"/>
    <w:rsid w:val="00D45EBE"/>
    <w:rsid w:val="00D45F2B"/>
    <w:rsid w:val="00D465FF"/>
    <w:rsid w:val="00D4703A"/>
    <w:rsid w:val="00D476B4"/>
    <w:rsid w:val="00D47AC7"/>
    <w:rsid w:val="00D5052F"/>
    <w:rsid w:val="00D505BD"/>
    <w:rsid w:val="00D50AF4"/>
    <w:rsid w:val="00D50BAB"/>
    <w:rsid w:val="00D50EC8"/>
    <w:rsid w:val="00D510FE"/>
    <w:rsid w:val="00D51100"/>
    <w:rsid w:val="00D51237"/>
    <w:rsid w:val="00D519B9"/>
    <w:rsid w:val="00D525B2"/>
    <w:rsid w:val="00D528F6"/>
    <w:rsid w:val="00D52F1E"/>
    <w:rsid w:val="00D532A5"/>
    <w:rsid w:val="00D5474B"/>
    <w:rsid w:val="00D54B45"/>
    <w:rsid w:val="00D54D29"/>
    <w:rsid w:val="00D55853"/>
    <w:rsid w:val="00D55A22"/>
    <w:rsid w:val="00D563CC"/>
    <w:rsid w:val="00D56F9D"/>
    <w:rsid w:val="00D56FDE"/>
    <w:rsid w:val="00D574B5"/>
    <w:rsid w:val="00D575A8"/>
    <w:rsid w:val="00D60798"/>
    <w:rsid w:val="00D613E6"/>
    <w:rsid w:val="00D6166B"/>
    <w:rsid w:val="00D61816"/>
    <w:rsid w:val="00D61840"/>
    <w:rsid w:val="00D61961"/>
    <w:rsid w:val="00D61B85"/>
    <w:rsid w:val="00D61CB5"/>
    <w:rsid w:val="00D6283F"/>
    <w:rsid w:val="00D62871"/>
    <w:rsid w:val="00D63094"/>
    <w:rsid w:val="00D63C94"/>
    <w:rsid w:val="00D63DC3"/>
    <w:rsid w:val="00D63F90"/>
    <w:rsid w:val="00D64E6B"/>
    <w:rsid w:val="00D64E83"/>
    <w:rsid w:val="00D655E6"/>
    <w:rsid w:val="00D657C7"/>
    <w:rsid w:val="00D65882"/>
    <w:rsid w:val="00D65907"/>
    <w:rsid w:val="00D65972"/>
    <w:rsid w:val="00D65BD6"/>
    <w:rsid w:val="00D6645A"/>
    <w:rsid w:val="00D66ADB"/>
    <w:rsid w:val="00D670B4"/>
    <w:rsid w:val="00D6731D"/>
    <w:rsid w:val="00D67334"/>
    <w:rsid w:val="00D6767E"/>
    <w:rsid w:val="00D678B4"/>
    <w:rsid w:val="00D67AC3"/>
    <w:rsid w:val="00D700F4"/>
    <w:rsid w:val="00D70ACB"/>
    <w:rsid w:val="00D70C9F"/>
    <w:rsid w:val="00D70DB6"/>
    <w:rsid w:val="00D71650"/>
    <w:rsid w:val="00D73319"/>
    <w:rsid w:val="00D73862"/>
    <w:rsid w:val="00D73D2C"/>
    <w:rsid w:val="00D7470E"/>
    <w:rsid w:val="00D7480E"/>
    <w:rsid w:val="00D74DD1"/>
    <w:rsid w:val="00D7623D"/>
    <w:rsid w:val="00D77145"/>
    <w:rsid w:val="00D77B8E"/>
    <w:rsid w:val="00D80530"/>
    <w:rsid w:val="00D8099B"/>
    <w:rsid w:val="00D80AA7"/>
    <w:rsid w:val="00D8150D"/>
    <w:rsid w:val="00D82AD1"/>
    <w:rsid w:val="00D85256"/>
    <w:rsid w:val="00D85380"/>
    <w:rsid w:val="00D85A66"/>
    <w:rsid w:val="00D85C8A"/>
    <w:rsid w:val="00D860B4"/>
    <w:rsid w:val="00D86476"/>
    <w:rsid w:val="00D864CB"/>
    <w:rsid w:val="00D8701F"/>
    <w:rsid w:val="00D8757F"/>
    <w:rsid w:val="00D87659"/>
    <w:rsid w:val="00D87917"/>
    <w:rsid w:val="00D87B3D"/>
    <w:rsid w:val="00D90557"/>
    <w:rsid w:val="00D90986"/>
    <w:rsid w:val="00D9099E"/>
    <w:rsid w:val="00D917E9"/>
    <w:rsid w:val="00D91B51"/>
    <w:rsid w:val="00D9207D"/>
    <w:rsid w:val="00D92080"/>
    <w:rsid w:val="00D92441"/>
    <w:rsid w:val="00D924C2"/>
    <w:rsid w:val="00D93301"/>
    <w:rsid w:val="00D9344E"/>
    <w:rsid w:val="00D94A94"/>
    <w:rsid w:val="00D951F6"/>
    <w:rsid w:val="00D9540D"/>
    <w:rsid w:val="00D957EB"/>
    <w:rsid w:val="00D96769"/>
    <w:rsid w:val="00D968BF"/>
    <w:rsid w:val="00D96C16"/>
    <w:rsid w:val="00D978E7"/>
    <w:rsid w:val="00D97966"/>
    <w:rsid w:val="00D9799B"/>
    <w:rsid w:val="00D979EE"/>
    <w:rsid w:val="00D97A01"/>
    <w:rsid w:val="00D97D44"/>
    <w:rsid w:val="00DA04D3"/>
    <w:rsid w:val="00DA0785"/>
    <w:rsid w:val="00DA0F6A"/>
    <w:rsid w:val="00DA13D2"/>
    <w:rsid w:val="00DA1703"/>
    <w:rsid w:val="00DA2695"/>
    <w:rsid w:val="00DA38A4"/>
    <w:rsid w:val="00DA38AB"/>
    <w:rsid w:val="00DA3D1B"/>
    <w:rsid w:val="00DA4BE0"/>
    <w:rsid w:val="00DA5867"/>
    <w:rsid w:val="00DA70BE"/>
    <w:rsid w:val="00DB0203"/>
    <w:rsid w:val="00DB0E81"/>
    <w:rsid w:val="00DB221D"/>
    <w:rsid w:val="00DB2397"/>
    <w:rsid w:val="00DB2D82"/>
    <w:rsid w:val="00DB3809"/>
    <w:rsid w:val="00DB474E"/>
    <w:rsid w:val="00DB4764"/>
    <w:rsid w:val="00DB4923"/>
    <w:rsid w:val="00DB4CBE"/>
    <w:rsid w:val="00DB4F4F"/>
    <w:rsid w:val="00DB51BF"/>
    <w:rsid w:val="00DB5436"/>
    <w:rsid w:val="00DB5B34"/>
    <w:rsid w:val="00DB74B3"/>
    <w:rsid w:val="00DB7D40"/>
    <w:rsid w:val="00DB7E01"/>
    <w:rsid w:val="00DC0422"/>
    <w:rsid w:val="00DC0C63"/>
    <w:rsid w:val="00DC0D74"/>
    <w:rsid w:val="00DC115F"/>
    <w:rsid w:val="00DC2FDB"/>
    <w:rsid w:val="00DC395F"/>
    <w:rsid w:val="00DC3B08"/>
    <w:rsid w:val="00DC3CC1"/>
    <w:rsid w:val="00DC3D5A"/>
    <w:rsid w:val="00DC3D76"/>
    <w:rsid w:val="00DC3F31"/>
    <w:rsid w:val="00DC4204"/>
    <w:rsid w:val="00DC48E7"/>
    <w:rsid w:val="00DC4C0C"/>
    <w:rsid w:val="00DC5177"/>
    <w:rsid w:val="00DC6245"/>
    <w:rsid w:val="00DC6370"/>
    <w:rsid w:val="00DC6402"/>
    <w:rsid w:val="00DC6698"/>
    <w:rsid w:val="00DC6EB1"/>
    <w:rsid w:val="00DC7391"/>
    <w:rsid w:val="00DD00E2"/>
    <w:rsid w:val="00DD0383"/>
    <w:rsid w:val="00DD04E3"/>
    <w:rsid w:val="00DD08C9"/>
    <w:rsid w:val="00DD0C54"/>
    <w:rsid w:val="00DD12B8"/>
    <w:rsid w:val="00DD1DA5"/>
    <w:rsid w:val="00DD2164"/>
    <w:rsid w:val="00DD26A1"/>
    <w:rsid w:val="00DD29D7"/>
    <w:rsid w:val="00DD2F07"/>
    <w:rsid w:val="00DD3032"/>
    <w:rsid w:val="00DD3E00"/>
    <w:rsid w:val="00DD435F"/>
    <w:rsid w:val="00DD4768"/>
    <w:rsid w:val="00DD5138"/>
    <w:rsid w:val="00DD52F1"/>
    <w:rsid w:val="00DD66A9"/>
    <w:rsid w:val="00DD6892"/>
    <w:rsid w:val="00DD6F59"/>
    <w:rsid w:val="00DD77B2"/>
    <w:rsid w:val="00DD7A24"/>
    <w:rsid w:val="00DD7ED3"/>
    <w:rsid w:val="00DD7EE2"/>
    <w:rsid w:val="00DE00F5"/>
    <w:rsid w:val="00DE010B"/>
    <w:rsid w:val="00DE0824"/>
    <w:rsid w:val="00DE08CD"/>
    <w:rsid w:val="00DE0999"/>
    <w:rsid w:val="00DE0A60"/>
    <w:rsid w:val="00DE125F"/>
    <w:rsid w:val="00DE13F3"/>
    <w:rsid w:val="00DE21A4"/>
    <w:rsid w:val="00DE233A"/>
    <w:rsid w:val="00DE25AC"/>
    <w:rsid w:val="00DE266D"/>
    <w:rsid w:val="00DE3278"/>
    <w:rsid w:val="00DE3AA0"/>
    <w:rsid w:val="00DE3BBB"/>
    <w:rsid w:val="00DE401E"/>
    <w:rsid w:val="00DE545B"/>
    <w:rsid w:val="00DE5599"/>
    <w:rsid w:val="00DE588C"/>
    <w:rsid w:val="00DE5AE4"/>
    <w:rsid w:val="00DE5CB6"/>
    <w:rsid w:val="00DE66AA"/>
    <w:rsid w:val="00DE6A88"/>
    <w:rsid w:val="00DE732C"/>
    <w:rsid w:val="00DE7592"/>
    <w:rsid w:val="00DE7D1E"/>
    <w:rsid w:val="00DF022C"/>
    <w:rsid w:val="00DF05D1"/>
    <w:rsid w:val="00DF09EB"/>
    <w:rsid w:val="00DF137B"/>
    <w:rsid w:val="00DF1684"/>
    <w:rsid w:val="00DF18DF"/>
    <w:rsid w:val="00DF275A"/>
    <w:rsid w:val="00DF398A"/>
    <w:rsid w:val="00DF3D19"/>
    <w:rsid w:val="00DF4510"/>
    <w:rsid w:val="00DF4CFC"/>
    <w:rsid w:val="00DF4E5D"/>
    <w:rsid w:val="00DF4E99"/>
    <w:rsid w:val="00DF4F53"/>
    <w:rsid w:val="00DF55B2"/>
    <w:rsid w:val="00DF62DD"/>
    <w:rsid w:val="00DF6413"/>
    <w:rsid w:val="00DF6968"/>
    <w:rsid w:val="00DF69B4"/>
    <w:rsid w:val="00DF69D1"/>
    <w:rsid w:val="00DF6E0D"/>
    <w:rsid w:val="00DF722B"/>
    <w:rsid w:val="00DF795A"/>
    <w:rsid w:val="00E00094"/>
    <w:rsid w:val="00E0195B"/>
    <w:rsid w:val="00E02538"/>
    <w:rsid w:val="00E025D7"/>
    <w:rsid w:val="00E02673"/>
    <w:rsid w:val="00E0354A"/>
    <w:rsid w:val="00E03D5B"/>
    <w:rsid w:val="00E05814"/>
    <w:rsid w:val="00E06A8C"/>
    <w:rsid w:val="00E06AE0"/>
    <w:rsid w:val="00E06C37"/>
    <w:rsid w:val="00E06C70"/>
    <w:rsid w:val="00E07120"/>
    <w:rsid w:val="00E071B6"/>
    <w:rsid w:val="00E1018D"/>
    <w:rsid w:val="00E10194"/>
    <w:rsid w:val="00E110DF"/>
    <w:rsid w:val="00E11C33"/>
    <w:rsid w:val="00E11CA9"/>
    <w:rsid w:val="00E11F92"/>
    <w:rsid w:val="00E1210D"/>
    <w:rsid w:val="00E12549"/>
    <w:rsid w:val="00E12DC6"/>
    <w:rsid w:val="00E1389B"/>
    <w:rsid w:val="00E14B4E"/>
    <w:rsid w:val="00E14B80"/>
    <w:rsid w:val="00E14D2F"/>
    <w:rsid w:val="00E1623B"/>
    <w:rsid w:val="00E16B10"/>
    <w:rsid w:val="00E16BCF"/>
    <w:rsid w:val="00E170F2"/>
    <w:rsid w:val="00E17902"/>
    <w:rsid w:val="00E17A22"/>
    <w:rsid w:val="00E17B39"/>
    <w:rsid w:val="00E17C4C"/>
    <w:rsid w:val="00E20751"/>
    <w:rsid w:val="00E20ED1"/>
    <w:rsid w:val="00E20F59"/>
    <w:rsid w:val="00E21024"/>
    <w:rsid w:val="00E21148"/>
    <w:rsid w:val="00E213F4"/>
    <w:rsid w:val="00E21C9C"/>
    <w:rsid w:val="00E21ED6"/>
    <w:rsid w:val="00E2228A"/>
    <w:rsid w:val="00E2265B"/>
    <w:rsid w:val="00E22DCE"/>
    <w:rsid w:val="00E24532"/>
    <w:rsid w:val="00E24CFE"/>
    <w:rsid w:val="00E254E5"/>
    <w:rsid w:val="00E25B48"/>
    <w:rsid w:val="00E27228"/>
    <w:rsid w:val="00E27672"/>
    <w:rsid w:val="00E27EBD"/>
    <w:rsid w:val="00E30547"/>
    <w:rsid w:val="00E31003"/>
    <w:rsid w:val="00E3135F"/>
    <w:rsid w:val="00E3153E"/>
    <w:rsid w:val="00E316DF"/>
    <w:rsid w:val="00E32367"/>
    <w:rsid w:val="00E3241D"/>
    <w:rsid w:val="00E324E4"/>
    <w:rsid w:val="00E334EE"/>
    <w:rsid w:val="00E335CF"/>
    <w:rsid w:val="00E339C0"/>
    <w:rsid w:val="00E339FA"/>
    <w:rsid w:val="00E33A13"/>
    <w:rsid w:val="00E33A55"/>
    <w:rsid w:val="00E33E63"/>
    <w:rsid w:val="00E34A14"/>
    <w:rsid w:val="00E34B90"/>
    <w:rsid w:val="00E34EA4"/>
    <w:rsid w:val="00E3523D"/>
    <w:rsid w:val="00E35D94"/>
    <w:rsid w:val="00E360C3"/>
    <w:rsid w:val="00E3648E"/>
    <w:rsid w:val="00E368A3"/>
    <w:rsid w:val="00E36A81"/>
    <w:rsid w:val="00E36E35"/>
    <w:rsid w:val="00E36EA6"/>
    <w:rsid w:val="00E37EC4"/>
    <w:rsid w:val="00E40AAB"/>
    <w:rsid w:val="00E41126"/>
    <w:rsid w:val="00E41531"/>
    <w:rsid w:val="00E4271D"/>
    <w:rsid w:val="00E42B0A"/>
    <w:rsid w:val="00E42DC6"/>
    <w:rsid w:val="00E42E50"/>
    <w:rsid w:val="00E431F4"/>
    <w:rsid w:val="00E439E3"/>
    <w:rsid w:val="00E43A0A"/>
    <w:rsid w:val="00E446EA"/>
    <w:rsid w:val="00E44725"/>
    <w:rsid w:val="00E45088"/>
    <w:rsid w:val="00E46354"/>
    <w:rsid w:val="00E4663A"/>
    <w:rsid w:val="00E46AA5"/>
    <w:rsid w:val="00E472FE"/>
    <w:rsid w:val="00E47455"/>
    <w:rsid w:val="00E47C2E"/>
    <w:rsid w:val="00E50B5E"/>
    <w:rsid w:val="00E50BA1"/>
    <w:rsid w:val="00E51556"/>
    <w:rsid w:val="00E52151"/>
    <w:rsid w:val="00E523E0"/>
    <w:rsid w:val="00E5322B"/>
    <w:rsid w:val="00E53482"/>
    <w:rsid w:val="00E53AD1"/>
    <w:rsid w:val="00E53B0A"/>
    <w:rsid w:val="00E53D90"/>
    <w:rsid w:val="00E53F9B"/>
    <w:rsid w:val="00E542A3"/>
    <w:rsid w:val="00E545F1"/>
    <w:rsid w:val="00E54611"/>
    <w:rsid w:val="00E54757"/>
    <w:rsid w:val="00E54C22"/>
    <w:rsid w:val="00E56C08"/>
    <w:rsid w:val="00E5737A"/>
    <w:rsid w:val="00E60418"/>
    <w:rsid w:val="00E605A6"/>
    <w:rsid w:val="00E605BE"/>
    <w:rsid w:val="00E615B8"/>
    <w:rsid w:val="00E61792"/>
    <w:rsid w:val="00E619E5"/>
    <w:rsid w:val="00E61AA0"/>
    <w:rsid w:val="00E61D45"/>
    <w:rsid w:val="00E62639"/>
    <w:rsid w:val="00E62B59"/>
    <w:rsid w:val="00E63180"/>
    <w:rsid w:val="00E63736"/>
    <w:rsid w:val="00E63B19"/>
    <w:rsid w:val="00E63B72"/>
    <w:rsid w:val="00E65B0D"/>
    <w:rsid w:val="00E65B7B"/>
    <w:rsid w:val="00E65C7D"/>
    <w:rsid w:val="00E6606B"/>
    <w:rsid w:val="00E6665D"/>
    <w:rsid w:val="00E667CD"/>
    <w:rsid w:val="00E66E29"/>
    <w:rsid w:val="00E66F97"/>
    <w:rsid w:val="00E67F29"/>
    <w:rsid w:val="00E707B9"/>
    <w:rsid w:val="00E709F2"/>
    <w:rsid w:val="00E70F12"/>
    <w:rsid w:val="00E721C0"/>
    <w:rsid w:val="00E729DD"/>
    <w:rsid w:val="00E72D54"/>
    <w:rsid w:val="00E72F3C"/>
    <w:rsid w:val="00E736AD"/>
    <w:rsid w:val="00E737E8"/>
    <w:rsid w:val="00E73AEC"/>
    <w:rsid w:val="00E7445A"/>
    <w:rsid w:val="00E74C77"/>
    <w:rsid w:val="00E7537B"/>
    <w:rsid w:val="00E75E72"/>
    <w:rsid w:val="00E76E40"/>
    <w:rsid w:val="00E77C1A"/>
    <w:rsid w:val="00E80C2B"/>
    <w:rsid w:val="00E81703"/>
    <w:rsid w:val="00E818DB"/>
    <w:rsid w:val="00E81DB5"/>
    <w:rsid w:val="00E82414"/>
    <w:rsid w:val="00E82A1C"/>
    <w:rsid w:val="00E82A26"/>
    <w:rsid w:val="00E82AD6"/>
    <w:rsid w:val="00E82AD8"/>
    <w:rsid w:val="00E82D38"/>
    <w:rsid w:val="00E82E29"/>
    <w:rsid w:val="00E838E2"/>
    <w:rsid w:val="00E83A0D"/>
    <w:rsid w:val="00E83F65"/>
    <w:rsid w:val="00E849B3"/>
    <w:rsid w:val="00E84D84"/>
    <w:rsid w:val="00E84E77"/>
    <w:rsid w:val="00E853AE"/>
    <w:rsid w:val="00E85659"/>
    <w:rsid w:val="00E85A65"/>
    <w:rsid w:val="00E85D2B"/>
    <w:rsid w:val="00E86B19"/>
    <w:rsid w:val="00E86C5A"/>
    <w:rsid w:val="00E86D0E"/>
    <w:rsid w:val="00E8783F"/>
    <w:rsid w:val="00E90431"/>
    <w:rsid w:val="00E90DDB"/>
    <w:rsid w:val="00E91156"/>
    <w:rsid w:val="00E9174A"/>
    <w:rsid w:val="00E91E51"/>
    <w:rsid w:val="00E925E9"/>
    <w:rsid w:val="00E92F28"/>
    <w:rsid w:val="00E93948"/>
    <w:rsid w:val="00E93C44"/>
    <w:rsid w:val="00E94429"/>
    <w:rsid w:val="00E94730"/>
    <w:rsid w:val="00E94AA9"/>
    <w:rsid w:val="00E9554A"/>
    <w:rsid w:val="00E959CB"/>
    <w:rsid w:val="00E95E39"/>
    <w:rsid w:val="00E965B4"/>
    <w:rsid w:val="00E97C57"/>
    <w:rsid w:val="00EA22B9"/>
    <w:rsid w:val="00EA22C9"/>
    <w:rsid w:val="00EA23AB"/>
    <w:rsid w:val="00EA2E3D"/>
    <w:rsid w:val="00EA3497"/>
    <w:rsid w:val="00EA3AF3"/>
    <w:rsid w:val="00EA5C10"/>
    <w:rsid w:val="00EA5D19"/>
    <w:rsid w:val="00EA71EE"/>
    <w:rsid w:val="00EB0142"/>
    <w:rsid w:val="00EB07E9"/>
    <w:rsid w:val="00EB0A4D"/>
    <w:rsid w:val="00EB1383"/>
    <w:rsid w:val="00EB141B"/>
    <w:rsid w:val="00EB18BA"/>
    <w:rsid w:val="00EB2302"/>
    <w:rsid w:val="00EB2829"/>
    <w:rsid w:val="00EB28D8"/>
    <w:rsid w:val="00EB2ECD"/>
    <w:rsid w:val="00EB374D"/>
    <w:rsid w:val="00EB3DA0"/>
    <w:rsid w:val="00EB4179"/>
    <w:rsid w:val="00EB502C"/>
    <w:rsid w:val="00EB518B"/>
    <w:rsid w:val="00EB52C0"/>
    <w:rsid w:val="00EB5436"/>
    <w:rsid w:val="00EB67F2"/>
    <w:rsid w:val="00EB6CBF"/>
    <w:rsid w:val="00EB6FE0"/>
    <w:rsid w:val="00EB6FFC"/>
    <w:rsid w:val="00EB7430"/>
    <w:rsid w:val="00EB78BD"/>
    <w:rsid w:val="00EB7A6E"/>
    <w:rsid w:val="00EB7C7A"/>
    <w:rsid w:val="00EC0407"/>
    <w:rsid w:val="00EC0555"/>
    <w:rsid w:val="00EC0F92"/>
    <w:rsid w:val="00EC1A3D"/>
    <w:rsid w:val="00EC37DD"/>
    <w:rsid w:val="00EC39B5"/>
    <w:rsid w:val="00EC3E63"/>
    <w:rsid w:val="00EC4286"/>
    <w:rsid w:val="00EC4939"/>
    <w:rsid w:val="00EC5169"/>
    <w:rsid w:val="00EC5DCA"/>
    <w:rsid w:val="00EC5FEA"/>
    <w:rsid w:val="00EC6754"/>
    <w:rsid w:val="00EC6A35"/>
    <w:rsid w:val="00EC73D4"/>
    <w:rsid w:val="00EC7A26"/>
    <w:rsid w:val="00EC7F44"/>
    <w:rsid w:val="00ED0713"/>
    <w:rsid w:val="00ED1922"/>
    <w:rsid w:val="00ED1968"/>
    <w:rsid w:val="00ED1F8E"/>
    <w:rsid w:val="00ED2B3D"/>
    <w:rsid w:val="00ED313C"/>
    <w:rsid w:val="00ED3B18"/>
    <w:rsid w:val="00ED4480"/>
    <w:rsid w:val="00ED4543"/>
    <w:rsid w:val="00ED48C6"/>
    <w:rsid w:val="00ED6277"/>
    <w:rsid w:val="00ED639B"/>
    <w:rsid w:val="00ED6AE8"/>
    <w:rsid w:val="00ED74BA"/>
    <w:rsid w:val="00ED7A71"/>
    <w:rsid w:val="00EE074F"/>
    <w:rsid w:val="00EE0FAE"/>
    <w:rsid w:val="00EE1947"/>
    <w:rsid w:val="00EE1B1A"/>
    <w:rsid w:val="00EE1CC5"/>
    <w:rsid w:val="00EE2B19"/>
    <w:rsid w:val="00EE4A2C"/>
    <w:rsid w:val="00EE5814"/>
    <w:rsid w:val="00EE6089"/>
    <w:rsid w:val="00EE6993"/>
    <w:rsid w:val="00EE6B63"/>
    <w:rsid w:val="00EE6CB5"/>
    <w:rsid w:val="00EE72E9"/>
    <w:rsid w:val="00EE77AA"/>
    <w:rsid w:val="00EE7B23"/>
    <w:rsid w:val="00EE7BF6"/>
    <w:rsid w:val="00EF019D"/>
    <w:rsid w:val="00EF0726"/>
    <w:rsid w:val="00EF08D6"/>
    <w:rsid w:val="00EF0918"/>
    <w:rsid w:val="00EF0B38"/>
    <w:rsid w:val="00EF0F5C"/>
    <w:rsid w:val="00EF358E"/>
    <w:rsid w:val="00EF3928"/>
    <w:rsid w:val="00EF451B"/>
    <w:rsid w:val="00EF48D2"/>
    <w:rsid w:val="00EF4E3A"/>
    <w:rsid w:val="00EF5288"/>
    <w:rsid w:val="00EF54A2"/>
    <w:rsid w:val="00EF56B8"/>
    <w:rsid w:val="00EF59CB"/>
    <w:rsid w:val="00EF6666"/>
    <w:rsid w:val="00EF6AC8"/>
    <w:rsid w:val="00EF6C2C"/>
    <w:rsid w:val="00EF7D52"/>
    <w:rsid w:val="00F0010D"/>
    <w:rsid w:val="00F00B60"/>
    <w:rsid w:val="00F00EC8"/>
    <w:rsid w:val="00F01336"/>
    <w:rsid w:val="00F01BE3"/>
    <w:rsid w:val="00F01E79"/>
    <w:rsid w:val="00F0349F"/>
    <w:rsid w:val="00F0392D"/>
    <w:rsid w:val="00F04672"/>
    <w:rsid w:val="00F06107"/>
    <w:rsid w:val="00F06150"/>
    <w:rsid w:val="00F06232"/>
    <w:rsid w:val="00F0628E"/>
    <w:rsid w:val="00F06A33"/>
    <w:rsid w:val="00F07377"/>
    <w:rsid w:val="00F07819"/>
    <w:rsid w:val="00F103F0"/>
    <w:rsid w:val="00F10588"/>
    <w:rsid w:val="00F112AF"/>
    <w:rsid w:val="00F11860"/>
    <w:rsid w:val="00F12377"/>
    <w:rsid w:val="00F12DD2"/>
    <w:rsid w:val="00F13FAE"/>
    <w:rsid w:val="00F1431A"/>
    <w:rsid w:val="00F146FF"/>
    <w:rsid w:val="00F147AC"/>
    <w:rsid w:val="00F149DD"/>
    <w:rsid w:val="00F14C88"/>
    <w:rsid w:val="00F14F05"/>
    <w:rsid w:val="00F15010"/>
    <w:rsid w:val="00F15885"/>
    <w:rsid w:val="00F158B2"/>
    <w:rsid w:val="00F161E5"/>
    <w:rsid w:val="00F162CF"/>
    <w:rsid w:val="00F17356"/>
    <w:rsid w:val="00F17792"/>
    <w:rsid w:val="00F17AFA"/>
    <w:rsid w:val="00F2080E"/>
    <w:rsid w:val="00F2093B"/>
    <w:rsid w:val="00F21993"/>
    <w:rsid w:val="00F21DFC"/>
    <w:rsid w:val="00F22B97"/>
    <w:rsid w:val="00F23A26"/>
    <w:rsid w:val="00F23D0C"/>
    <w:rsid w:val="00F240E8"/>
    <w:rsid w:val="00F24CE1"/>
    <w:rsid w:val="00F24F36"/>
    <w:rsid w:val="00F24FA1"/>
    <w:rsid w:val="00F25766"/>
    <w:rsid w:val="00F25F36"/>
    <w:rsid w:val="00F26929"/>
    <w:rsid w:val="00F26AF4"/>
    <w:rsid w:val="00F26FAA"/>
    <w:rsid w:val="00F27E12"/>
    <w:rsid w:val="00F27E49"/>
    <w:rsid w:val="00F30604"/>
    <w:rsid w:val="00F31416"/>
    <w:rsid w:val="00F3251D"/>
    <w:rsid w:val="00F32972"/>
    <w:rsid w:val="00F33B25"/>
    <w:rsid w:val="00F33CB9"/>
    <w:rsid w:val="00F34060"/>
    <w:rsid w:val="00F3423C"/>
    <w:rsid w:val="00F34614"/>
    <w:rsid w:val="00F3481C"/>
    <w:rsid w:val="00F34F2E"/>
    <w:rsid w:val="00F351EF"/>
    <w:rsid w:val="00F36274"/>
    <w:rsid w:val="00F367E8"/>
    <w:rsid w:val="00F37229"/>
    <w:rsid w:val="00F379BD"/>
    <w:rsid w:val="00F379FA"/>
    <w:rsid w:val="00F37E49"/>
    <w:rsid w:val="00F40250"/>
    <w:rsid w:val="00F40E76"/>
    <w:rsid w:val="00F40E7A"/>
    <w:rsid w:val="00F41B8E"/>
    <w:rsid w:val="00F422A6"/>
    <w:rsid w:val="00F42628"/>
    <w:rsid w:val="00F42C51"/>
    <w:rsid w:val="00F43EB4"/>
    <w:rsid w:val="00F445F9"/>
    <w:rsid w:val="00F4474D"/>
    <w:rsid w:val="00F44F7C"/>
    <w:rsid w:val="00F45434"/>
    <w:rsid w:val="00F465AF"/>
    <w:rsid w:val="00F4684C"/>
    <w:rsid w:val="00F47462"/>
    <w:rsid w:val="00F476D2"/>
    <w:rsid w:val="00F5044E"/>
    <w:rsid w:val="00F50853"/>
    <w:rsid w:val="00F50DB5"/>
    <w:rsid w:val="00F5155D"/>
    <w:rsid w:val="00F51D3F"/>
    <w:rsid w:val="00F51D61"/>
    <w:rsid w:val="00F51EC3"/>
    <w:rsid w:val="00F52977"/>
    <w:rsid w:val="00F53B22"/>
    <w:rsid w:val="00F541C8"/>
    <w:rsid w:val="00F54914"/>
    <w:rsid w:val="00F549E0"/>
    <w:rsid w:val="00F55161"/>
    <w:rsid w:val="00F55364"/>
    <w:rsid w:val="00F55B58"/>
    <w:rsid w:val="00F5601E"/>
    <w:rsid w:val="00F56738"/>
    <w:rsid w:val="00F5675C"/>
    <w:rsid w:val="00F56A11"/>
    <w:rsid w:val="00F576CB"/>
    <w:rsid w:val="00F57792"/>
    <w:rsid w:val="00F578AE"/>
    <w:rsid w:val="00F6046E"/>
    <w:rsid w:val="00F60518"/>
    <w:rsid w:val="00F60E63"/>
    <w:rsid w:val="00F614EE"/>
    <w:rsid w:val="00F61701"/>
    <w:rsid w:val="00F61787"/>
    <w:rsid w:val="00F61D21"/>
    <w:rsid w:val="00F63125"/>
    <w:rsid w:val="00F63526"/>
    <w:rsid w:val="00F63BEE"/>
    <w:rsid w:val="00F64BF4"/>
    <w:rsid w:val="00F6544A"/>
    <w:rsid w:val="00F659F3"/>
    <w:rsid w:val="00F67331"/>
    <w:rsid w:val="00F67403"/>
    <w:rsid w:val="00F675A7"/>
    <w:rsid w:val="00F7007A"/>
    <w:rsid w:val="00F702D5"/>
    <w:rsid w:val="00F7068F"/>
    <w:rsid w:val="00F70A4F"/>
    <w:rsid w:val="00F70A80"/>
    <w:rsid w:val="00F71022"/>
    <w:rsid w:val="00F71DEF"/>
    <w:rsid w:val="00F71E48"/>
    <w:rsid w:val="00F7204E"/>
    <w:rsid w:val="00F722FF"/>
    <w:rsid w:val="00F72459"/>
    <w:rsid w:val="00F7260C"/>
    <w:rsid w:val="00F72B56"/>
    <w:rsid w:val="00F7315E"/>
    <w:rsid w:val="00F733BD"/>
    <w:rsid w:val="00F7378E"/>
    <w:rsid w:val="00F739B6"/>
    <w:rsid w:val="00F73C55"/>
    <w:rsid w:val="00F73E76"/>
    <w:rsid w:val="00F7456C"/>
    <w:rsid w:val="00F7468A"/>
    <w:rsid w:val="00F74857"/>
    <w:rsid w:val="00F752AD"/>
    <w:rsid w:val="00F75B16"/>
    <w:rsid w:val="00F75CE1"/>
    <w:rsid w:val="00F7690D"/>
    <w:rsid w:val="00F76DE6"/>
    <w:rsid w:val="00F7776A"/>
    <w:rsid w:val="00F77813"/>
    <w:rsid w:val="00F77A38"/>
    <w:rsid w:val="00F77A39"/>
    <w:rsid w:val="00F805A7"/>
    <w:rsid w:val="00F81097"/>
    <w:rsid w:val="00F813F6"/>
    <w:rsid w:val="00F817A8"/>
    <w:rsid w:val="00F822A0"/>
    <w:rsid w:val="00F828E0"/>
    <w:rsid w:val="00F82906"/>
    <w:rsid w:val="00F829CF"/>
    <w:rsid w:val="00F83667"/>
    <w:rsid w:val="00F83683"/>
    <w:rsid w:val="00F83B4A"/>
    <w:rsid w:val="00F8513C"/>
    <w:rsid w:val="00F851D3"/>
    <w:rsid w:val="00F851F5"/>
    <w:rsid w:val="00F85441"/>
    <w:rsid w:val="00F856A2"/>
    <w:rsid w:val="00F85D7F"/>
    <w:rsid w:val="00F860D8"/>
    <w:rsid w:val="00F86772"/>
    <w:rsid w:val="00F86D8A"/>
    <w:rsid w:val="00F87388"/>
    <w:rsid w:val="00F87A3D"/>
    <w:rsid w:val="00F87C22"/>
    <w:rsid w:val="00F903E2"/>
    <w:rsid w:val="00F90F1A"/>
    <w:rsid w:val="00F91539"/>
    <w:rsid w:val="00F91843"/>
    <w:rsid w:val="00F91ADA"/>
    <w:rsid w:val="00F91B8E"/>
    <w:rsid w:val="00F91C12"/>
    <w:rsid w:val="00F92E3C"/>
    <w:rsid w:val="00F9346C"/>
    <w:rsid w:val="00F9372A"/>
    <w:rsid w:val="00F938DB"/>
    <w:rsid w:val="00F93C4D"/>
    <w:rsid w:val="00F93D77"/>
    <w:rsid w:val="00F948C3"/>
    <w:rsid w:val="00F95A4B"/>
    <w:rsid w:val="00F95B63"/>
    <w:rsid w:val="00F96637"/>
    <w:rsid w:val="00F96725"/>
    <w:rsid w:val="00F96E10"/>
    <w:rsid w:val="00F970EB"/>
    <w:rsid w:val="00F97CA2"/>
    <w:rsid w:val="00F97DE0"/>
    <w:rsid w:val="00FA059F"/>
    <w:rsid w:val="00FA0E46"/>
    <w:rsid w:val="00FA10E3"/>
    <w:rsid w:val="00FA13E0"/>
    <w:rsid w:val="00FA1451"/>
    <w:rsid w:val="00FA2621"/>
    <w:rsid w:val="00FA2D04"/>
    <w:rsid w:val="00FA3F08"/>
    <w:rsid w:val="00FA4531"/>
    <w:rsid w:val="00FA4EED"/>
    <w:rsid w:val="00FA586F"/>
    <w:rsid w:val="00FA5C71"/>
    <w:rsid w:val="00FA7746"/>
    <w:rsid w:val="00FA7901"/>
    <w:rsid w:val="00FB111B"/>
    <w:rsid w:val="00FB12CF"/>
    <w:rsid w:val="00FB156B"/>
    <w:rsid w:val="00FB19F5"/>
    <w:rsid w:val="00FB248F"/>
    <w:rsid w:val="00FB28E9"/>
    <w:rsid w:val="00FB365C"/>
    <w:rsid w:val="00FB3763"/>
    <w:rsid w:val="00FB3C8F"/>
    <w:rsid w:val="00FB4520"/>
    <w:rsid w:val="00FB517B"/>
    <w:rsid w:val="00FB54D6"/>
    <w:rsid w:val="00FB56F4"/>
    <w:rsid w:val="00FB5AB5"/>
    <w:rsid w:val="00FB5E61"/>
    <w:rsid w:val="00FB6A92"/>
    <w:rsid w:val="00FB72A2"/>
    <w:rsid w:val="00FB7D83"/>
    <w:rsid w:val="00FB7E92"/>
    <w:rsid w:val="00FB7F44"/>
    <w:rsid w:val="00FC0266"/>
    <w:rsid w:val="00FC0485"/>
    <w:rsid w:val="00FC0ADF"/>
    <w:rsid w:val="00FC1721"/>
    <w:rsid w:val="00FC1DEA"/>
    <w:rsid w:val="00FC1FD6"/>
    <w:rsid w:val="00FC2825"/>
    <w:rsid w:val="00FC2EBD"/>
    <w:rsid w:val="00FC2F20"/>
    <w:rsid w:val="00FC3022"/>
    <w:rsid w:val="00FC33A4"/>
    <w:rsid w:val="00FC38C8"/>
    <w:rsid w:val="00FC3F99"/>
    <w:rsid w:val="00FC62A7"/>
    <w:rsid w:val="00FC65A2"/>
    <w:rsid w:val="00FC7898"/>
    <w:rsid w:val="00FC7ABC"/>
    <w:rsid w:val="00FC7F0C"/>
    <w:rsid w:val="00FD09CF"/>
    <w:rsid w:val="00FD09F9"/>
    <w:rsid w:val="00FD0C5E"/>
    <w:rsid w:val="00FD12C3"/>
    <w:rsid w:val="00FD1ACA"/>
    <w:rsid w:val="00FD1B0D"/>
    <w:rsid w:val="00FD234A"/>
    <w:rsid w:val="00FD24A8"/>
    <w:rsid w:val="00FD33E1"/>
    <w:rsid w:val="00FD3BE1"/>
    <w:rsid w:val="00FD3CDB"/>
    <w:rsid w:val="00FD3D81"/>
    <w:rsid w:val="00FD5738"/>
    <w:rsid w:val="00FD5F5F"/>
    <w:rsid w:val="00FD63E2"/>
    <w:rsid w:val="00FD6D65"/>
    <w:rsid w:val="00FD6DA7"/>
    <w:rsid w:val="00FD73FB"/>
    <w:rsid w:val="00FD7695"/>
    <w:rsid w:val="00FE02B7"/>
    <w:rsid w:val="00FE06BC"/>
    <w:rsid w:val="00FE13C3"/>
    <w:rsid w:val="00FE1469"/>
    <w:rsid w:val="00FE198C"/>
    <w:rsid w:val="00FE1DD9"/>
    <w:rsid w:val="00FE2014"/>
    <w:rsid w:val="00FE26E0"/>
    <w:rsid w:val="00FE2B71"/>
    <w:rsid w:val="00FE30AD"/>
    <w:rsid w:val="00FE3FB8"/>
    <w:rsid w:val="00FE4355"/>
    <w:rsid w:val="00FE4E54"/>
    <w:rsid w:val="00FE5AFB"/>
    <w:rsid w:val="00FE64E5"/>
    <w:rsid w:val="00FF0FC1"/>
    <w:rsid w:val="00FF15E4"/>
    <w:rsid w:val="00FF189F"/>
    <w:rsid w:val="00FF266A"/>
    <w:rsid w:val="00FF349E"/>
    <w:rsid w:val="00FF4211"/>
    <w:rsid w:val="00FF47A2"/>
    <w:rsid w:val="00FF53A2"/>
    <w:rsid w:val="00FF64B1"/>
    <w:rsid w:val="00FF69E5"/>
    <w:rsid w:val="00FF6E2F"/>
    <w:rsid w:val="00FF6FC3"/>
    <w:rsid w:val="00FF70DF"/>
    <w:rsid w:val="00FF788A"/>
    <w:rsid w:val="14C0D860"/>
    <w:rsid w:val="2EB034DA"/>
    <w:rsid w:val="2EC91BDE"/>
    <w:rsid w:val="3170B2D0"/>
    <w:rsid w:val="5754C5AB"/>
    <w:rsid w:val="577E8E60"/>
    <w:rsid w:val="59460132"/>
    <w:rsid w:val="63E69372"/>
    <w:rsid w:val="754208AA"/>
  </w:rsids>
  <m:mathPr>
    <m:mathFont m:val="Cambria Math"/>
    <m:brkBin m:val="before"/>
    <m:brkBinSub m:val="--"/>
    <m:smallFrac m:val="0"/>
    <m:dispDef/>
    <m:lMargin m:val="0"/>
    <m:rMargin m:val="0"/>
    <m:defJc m:val="centerGroup"/>
    <m:wrapIndent m:val="1440"/>
    <m:intLim m:val="subSup"/>
    <m:naryLim m:val="undOvr"/>
  </m:mathPr>
  <w:themeFontLang w:val="fr-C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3D41"/>
  <w15:chartTrackingRefBased/>
  <w15:docId w15:val="{0DDAF98F-3602-4CA9-B747-800C9162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A85"/>
    <w:pPr>
      <w:spacing w:before="100" w:beforeAutospacing="1" w:after="120" w:afterAutospacing="1" w:line="276" w:lineRule="auto"/>
      <w:jc w:val="both"/>
    </w:pPr>
    <w:rPr>
      <w:rFonts w:ascii="Helvetica" w:eastAsia="Times New Roman" w:hAnsi="Helvetica" w:cs="Helvetica"/>
      <w:color w:val="000000"/>
      <w:kern w:val="0"/>
      <w:sz w:val="24"/>
      <w:szCs w:val="22"/>
      <w:lang w:eastAsia="fr-CI"/>
      <w14:ligatures w14:val="none"/>
    </w:rPr>
  </w:style>
  <w:style w:type="paragraph" w:styleId="Heading1">
    <w:name w:val="heading 1"/>
    <w:basedOn w:val="Normal"/>
    <w:next w:val="Normal"/>
    <w:uiPriority w:val="9"/>
    <w:qFormat/>
    <w:rsid w:val="00A50091"/>
    <w:pPr>
      <w:keepNext/>
      <w:keepLines/>
      <w:spacing w:before="240" w:after="120"/>
      <w:ind w:left="0"/>
      <w:jc w:val="left"/>
      <w:outlineLvl w:val="0"/>
    </w:pPr>
    <w:rPr>
      <w:rFonts w:ascii="Helvetica" w:hAnsi="Helvetica"/>
      <w:b/>
      <w:i w:val="0"/>
      <w:color w:val="000000"/>
      <w:sz w:val="30"/>
      <w:szCs w:val="32"/>
    </w:rPr>
  </w:style>
  <w:style w:type="paragraph" w:styleId="Heading2">
    <w:name w:val="heading 2"/>
    <w:basedOn w:val="Heading1"/>
    <w:next w:val="Normal"/>
    <w:uiPriority w:val="9"/>
    <w:unhideWhenUsed/>
    <w:qFormat/>
    <w:rsid w:val="00AF5061"/>
    <w:pPr>
      <w:keepNext/>
      <w:spacing w:before="240" w:after="120"/>
      <w:ind w:left="0"/>
      <w:jc w:val="left"/>
      <w:outlineLvl w:val="1"/>
    </w:pPr>
    <w:rPr>
      <w:rFonts w:eastAsia="Helvetica" w:ascii="Helvetica" w:hAnsi="Helvetica"/>
      <w:b/>
      <w:i w:val="0"/>
      <w:color w:val="000000"/>
      <w:sz w:val="28"/>
      <w:szCs w:val="28"/>
    </w:rPr>
  </w:style>
  <w:style w:type="paragraph" w:styleId="Heading3">
    <w:name w:val="heading 3"/>
    <w:basedOn w:val="Heading2"/>
    <w:next w:val="Normal"/>
    <w:uiPriority w:val="9"/>
    <w:unhideWhenUsed/>
    <w:qFormat/>
    <w:rsid w:val="00AF5061"/>
    <w:pPr>
      <w:keepNext/>
      <w:spacing w:before="240" w:after="120"/>
      <w:ind w:left="0"/>
      <w:jc w:val="left"/>
      <w:outlineLvl w:val="2"/>
    </w:pPr>
    <w:rPr>
      <w:rFonts w:ascii="Helvetica" w:hAnsi="Helvetica"/>
      <w:b/>
      <w:i w:val="0"/>
      <w:color w:val="000000"/>
      <w:sz w:val="26"/>
    </w:rPr>
  </w:style>
  <w:style w:type="paragraph" w:styleId="Heading4">
    <w:name w:val="heading 4"/>
    <w:basedOn w:val="Normal"/>
    <w:next w:val="Normal"/>
    <w:uiPriority w:val="9"/>
    <w:unhideWhenUsed/>
    <w:qFormat/>
    <w:rsid w:val="00D07C4B"/>
    <w:pPr>
      <w:keepNext/>
      <w:keepLines/>
      <w:spacing w:before="240" w:after="120"/>
      <w:ind w:left="0"/>
      <w:jc w:val="left"/>
      <w:outlineLvl w:val="3"/>
    </w:pPr>
    <w:rPr>
      <w:rFonts w:eastAsiaTheme="majorEastAsia" w:cstheme="majorBidi" w:ascii="Helvetica" w:hAnsi="Helvetica"/>
      <w:b/>
      <w:i w:val="0"/>
      <w:iCs/>
      <w:color w:val="000000"/>
      <w:sz w:val="24"/>
    </w:rPr>
  </w:style>
  <w:style w:type="paragraph" w:styleId="Heading5">
    <w:name w:val="heading 5"/>
    <w:basedOn w:val="Normal"/>
    <w:next w:val="Normal"/>
    <w:uiPriority w:val="9"/>
    <w:semiHidden/>
    <w:unhideWhenUsed/>
    <w:qFormat/>
    <w:rsid w:val="00D07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D07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D07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D07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D07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07C4B"/>
    <w:pPr>
      <w:ind w:left="720"/>
      <w:contextualSpacing/>
    </w:pPr>
  </w:style>
  <w:style w:type="character" w:styleId="IntenseEmphasis">
    <w:name w:val="Intense Emphasis"/>
    <w:basedOn w:val="DefaultParagraphFont"/>
    <w:uiPriority w:val="21"/>
    <w:qFormat/>
    <w:rsid w:val="00D07C4B"/>
    <w:rPr>
      <w:i/>
      <w:iCs/>
      <w:color w:val="0F4761" w:themeColor="accent1" w:themeShade="BF"/>
    </w:rPr>
  </w:style>
  <w:style w:type="character" w:styleId="IntenseReference">
    <w:name w:val="Intense Reference"/>
    <w:basedOn w:val="DefaultParagraphFont"/>
    <w:uiPriority w:val="32"/>
    <w:qFormat/>
    <w:rsid w:val="00D07C4B"/>
    <w:rPr>
      <w:b/>
      <w:bCs/>
      <w:smallCaps/>
      <w:color w:val="0F4761" w:themeColor="accent1" w:themeShade="BF"/>
      <w:spacing w:val="5"/>
    </w:rPr>
  </w:style>
  <w:style w:type="character" w:customStyle="1" w:styleId="Titre1Car">
    <w:name w:val="Titre 1 Car"/>
    <w:basedOn w:val="DefaultParagraphFont"/>
    <w:uiPriority w:val="9"/>
    <w:rsid w:val="00CA5CA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DefaultParagraphFont"/>
    <w:uiPriority w:val="9"/>
    <w:rsid w:val="00CA5CA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DefaultParagraphFont"/>
    <w:uiPriority w:val="9"/>
    <w:rsid w:val="00CA5CA9"/>
    <w:rPr>
      <w:rFonts w:eastAsiaTheme="majorEastAsia" w:cstheme="majorBidi"/>
      <w:color w:val="0F4761" w:themeColor="accent1" w:themeShade="BF"/>
      <w:sz w:val="28"/>
      <w:szCs w:val="28"/>
    </w:rPr>
  </w:style>
  <w:style w:type="character" w:customStyle="1" w:styleId="Titre4Car">
    <w:name w:val="Titre 4 Car"/>
    <w:basedOn w:val="DefaultParagraphFont"/>
    <w:uiPriority w:val="9"/>
    <w:semiHidden/>
    <w:rsid w:val="00CA5CA9"/>
    <w:rPr>
      <w:rFonts w:eastAsiaTheme="majorEastAsia" w:cstheme="majorBidi"/>
      <w:i/>
      <w:iCs/>
      <w:color w:val="0F4761" w:themeColor="accent1" w:themeShade="BF"/>
    </w:rPr>
  </w:style>
  <w:style w:type="character" w:customStyle="1" w:styleId="Titre5Car">
    <w:name w:val="Titre 5 Car"/>
    <w:basedOn w:val="DefaultParagraphFont"/>
    <w:uiPriority w:val="9"/>
    <w:semiHidden/>
    <w:rsid w:val="00CA5CA9"/>
    <w:rPr>
      <w:rFonts w:eastAsiaTheme="majorEastAsia" w:cstheme="majorBidi"/>
      <w:color w:val="0F4761" w:themeColor="accent1" w:themeShade="BF"/>
    </w:rPr>
  </w:style>
  <w:style w:type="character" w:customStyle="1" w:styleId="Titre6Car">
    <w:name w:val="Titre 6 Car"/>
    <w:basedOn w:val="DefaultParagraphFont"/>
    <w:uiPriority w:val="9"/>
    <w:semiHidden/>
    <w:rsid w:val="00CA5CA9"/>
    <w:rPr>
      <w:rFonts w:eastAsiaTheme="majorEastAsia" w:cstheme="majorBidi"/>
      <w:i/>
      <w:iCs/>
      <w:color w:val="595959" w:themeColor="text1" w:themeTint="A6"/>
    </w:rPr>
  </w:style>
  <w:style w:type="character" w:customStyle="1" w:styleId="Titre7Car">
    <w:name w:val="Titre 7 Car"/>
    <w:basedOn w:val="DefaultParagraphFont"/>
    <w:uiPriority w:val="9"/>
    <w:semiHidden/>
    <w:rsid w:val="00CA5CA9"/>
    <w:rPr>
      <w:rFonts w:eastAsiaTheme="majorEastAsia" w:cstheme="majorBidi"/>
      <w:color w:val="595959" w:themeColor="text1" w:themeTint="A6"/>
    </w:rPr>
  </w:style>
  <w:style w:type="character" w:customStyle="1" w:styleId="Titre8Car">
    <w:name w:val="Titre 8 Car"/>
    <w:basedOn w:val="DefaultParagraphFont"/>
    <w:uiPriority w:val="9"/>
    <w:semiHidden/>
    <w:rsid w:val="00CA5CA9"/>
    <w:rPr>
      <w:rFonts w:eastAsiaTheme="majorEastAsia" w:cstheme="majorBidi"/>
      <w:i/>
      <w:iCs/>
      <w:color w:val="272727" w:themeColor="text1" w:themeTint="D8"/>
    </w:rPr>
  </w:style>
  <w:style w:type="character" w:customStyle="1" w:styleId="Titre9Car">
    <w:name w:val="Titre 9 Car"/>
    <w:basedOn w:val="DefaultParagraphFont"/>
    <w:uiPriority w:val="9"/>
    <w:semiHidden/>
    <w:rsid w:val="00CA5CA9"/>
    <w:rPr>
      <w:rFonts w:eastAsiaTheme="majorEastAsia" w:cstheme="majorBidi"/>
      <w:color w:val="272727" w:themeColor="text1" w:themeTint="D8"/>
    </w:rPr>
  </w:style>
  <w:style w:type="character" w:customStyle="1" w:styleId="TitreCar">
    <w:name w:val="Titre Car"/>
    <w:basedOn w:val="DefaultParagraphFont"/>
    <w:uiPriority w:val="10"/>
    <w:rsid w:val="00CA5CA9"/>
    <w:rPr>
      <w:rFonts w:asciiTheme="majorHAnsi" w:eastAsiaTheme="majorEastAsia" w:hAnsiTheme="majorHAnsi" w:cstheme="majorBidi"/>
      <w:spacing w:val="-10"/>
      <w:kern w:val="28"/>
      <w:sz w:val="56"/>
      <w:szCs w:val="56"/>
    </w:rPr>
  </w:style>
  <w:style w:type="character" w:customStyle="1" w:styleId="Sous-titreCar">
    <w:name w:val="Sous-titre Car"/>
    <w:basedOn w:val="DefaultParagraphFont"/>
    <w:uiPriority w:val="11"/>
    <w:rsid w:val="00CA5CA9"/>
    <w:rPr>
      <w:rFonts w:eastAsiaTheme="majorEastAsia" w:cstheme="majorBidi"/>
      <w:color w:val="595959" w:themeColor="text1" w:themeTint="A6"/>
      <w:spacing w:val="15"/>
      <w:sz w:val="28"/>
      <w:szCs w:val="28"/>
    </w:rPr>
  </w:style>
  <w:style w:type="character" w:customStyle="1" w:styleId="CitationCar">
    <w:name w:val="Citation Car"/>
    <w:basedOn w:val="DefaultParagraphFont"/>
    <w:uiPriority w:val="29"/>
    <w:rsid w:val="00CA5CA9"/>
    <w:rPr>
      <w:i/>
      <w:iCs/>
      <w:color w:val="404040" w:themeColor="text1" w:themeTint="BF"/>
    </w:rPr>
  </w:style>
  <w:style w:type="character" w:customStyle="1" w:styleId="CitationintenseCar">
    <w:name w:val="Citation intense Car"/>
    <w:basedOn w:val="DefaultParagraphFont"/>
    <w:uiPriority w:val="30"/>
    <w:rsid w:val="00CA5CA9"/>
    <w:rPr>
      <w:i/>
      <w:iCs/>
      <w:color w:val="0F4761" w:themeColor="accent1" w:themeShade="BF"/>
    </w:rPr>
  </w:style>
  <w:style w:type="paragraph" w:styleId="Header">
    <w:name w:val="header"/>
    <w:basedOn w:val="Normal"/>
    <w:link w:val="HeaderChar"/>
    <w:uiPriority w:val="99"/>
    <w:unhideWhenUsed/>
    <w:rsid w:val="00E82414"/>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2414"/>
  </w:style>
  <w:style w:type="paragraph" w:styleId="Footer">
    <w:name w:val="footer"/>
    <w:basedOn w:val="Normal"/>
    <w:link w:val="FooterChar"/>
    <w:uiPriority w:val="99"/>
    <w:unhideWhenUsed/>
    <w:rsid w:val="00E82414"/>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2414"/>
  </w:style>
  <w:style w:type="paragraph" w:styleId="NormalWeb">
    <w:name w:val="Normal (Web)"/>
    <w:basedOn w:val="Normal"/>
    <w:uiPriority w:val="99"/>
    <w:unhideWhenUsed/>
    <w:rsid w:val="00E82414"/>
    <w:pPr>
      <w:spacing w:line="240" w:lineRule="auto"/>
    </w:pPr>
    <w:rPr>
      <w:rFonts w:ascii="Times New Roman" w:hAnsi="Times New Roman" w:cs="Times New Roman"/>
      <w:lang w:val="fr-FR"/>
    </w:rPr>
  </w:style>
  <w:style w:type="paragraph" w:customStyle="1" w:styleId="isselectedend">
    <w:name w:val="isselectedend"/>
    <w:basedOn w:val="Normal"/>
    <w:rsid w:val="00E82414"/>
    <w:pPr>
      <w:spacing w:line="240" w:lineRule="auto"/>
    </w:pPr>
    <w:rPr>
      <w:rFonts w:ascii="Times New Roman" w:hAnsi="Times New Roman" w:cs="Times New Roman"/>
      <w:lang w:val="fr-FR"/>
    </w:rPr>
  </w:style>
  <w:style w:type="character" w:styleId="Strong">
    <w:name w:val="Strong"/>
    <w:basedOn w:val="DefaultParagraphFont"/>
    <w:uiPriority w:val="22"/>
    <w:qFormat/>
    <w:rsid w:val="00E82414"/>
    <w:rPr>
      <w:b/>
      <w:bCs/>
    </w:rPr>
  </w:style>
  <w:style w:type="paragraph" w:styleId="Caption">
    <w:name w:val="caption"/>
    <w:basedOn w:val="Normal"/>
    <w:next w:val="Normal"/>
    <w:unhideWhenUsed/>
    <w:qFormat/>
    <w:rsid w:val="00E82414"/>
    <w:pPr>
      <w:spacing w:after="200" w:line="240" w:lineRule="auto"/>
    </w:pPr>
    <w:rPr>
      <w:rFonts w:ascii="Helvetica" w:hAnsi="Helvetica"/>
      <w:b/>
      <w:i w:val="0"/>
      <w:iCs/>
      <w:color w:val="000000"/>
      <w:sz w:val="20"/>
      <w:szCs w:val="18"/>
    </w:rPr>
  </w:style>
  <w:style w:type="character" w:styleId="FootnoteReference">
    <w:name w:val="footnote reference"/>
    <w:uiPriority w:val="99"/>
    <w:semiHidden/>
    <w:unhideWhenUsed/>
    <w:rsid w:val="00E82414"/>
    <w:rPr>
      <w:vertAlign w:val="superscript"/>
    </w:rPr>
  </w:style>
  <w:style w:type="character" w:styleId="Hyperlink">
    <w:name w:val="Hyperlink"/>
    <w:uiPriority w:val="99"/>
    <w:unhideWhenUsed/>
    <w:rsid w:val="00B47255"/>
    <w:rPr>
      <w:color w:val="0563C1"/>
      <w:u w:val="single"/>
    </w:rPr>
  </w:style>
  <w:style w:type="paragraph" w:styleId="TOC1">
    <w:name w:val="toc 1"/>
    <w:basedOn w:val="Normal"/>
    <w:next w:val="Normal"/>
    <w:autoRedefine/>
    <w:uiPriority w:val="39"/>
    <w:unhideWhenUsed/>
    <w:rsid w:val="00476501"/>
    <w:pPr>
      <w:tabs>
        <w:tab w:val="right" w:leader="dot" w:pos="10456"/>
      </w:tabs>
      <w:spacing w:before="220" w:after="220" w:line="240" w:lineRule="auto"/>
    </w:pPr>
    <w:rPr>
      <w:b/>
      <w:sz w:val="20"/>
    </w:rPr>
  </w:style>
  <w:style w:type="paragraph" w:styleId="TOC2">
    <w:name w:val="toc 2"/>
    <w:basedOn w:val="Normal"/>
    <w:next w:val="Normal"/>
    <w:autoRedefine/>
    <w:uiPriority w:val="39"/>
    <w:unhideWhenUsed/>
    <w:rsid w:val="00476501"/>
    <w:pPr>
      <w:spacing w:line="360" w:lineRule="auto"/>
      <w:ind w:left="238"/>
    </w:pPr>
    <w:rPr>
      <w:b/>
      <w:sz w:val="20"/>
    </w:rPr>
  </w:style>
  <w:style w:type="paragraph" w:styleId="TOC3">
    <w:name w:val="toc 3"/>
    <w:basedOn w:val="Normal"/>
    <w:next w:val="Normal"/>
    <w:autoRedefine/>
    <w:uiPriority w:val="39"/>
    <w:unhideWhenUsed/>
    <w:rsid w:val="00476501"/>
    <w:pPr>
      <w:spacing w:line="360" w:lineRule="auto"/>
      <w:ind w:left="482"/>
    </w:pPr>
    <w:rPr>
      <w:rFonts w:ascii="Times New Roman" w:hAnsi="Times New Roman"/>
      <w:sz w:val="20"/>
    </w:rPr>
  </w:style>
  <w:style w:type="paragraph" w:styleId="TableofFigures">
    <w:name w:val="table of figures"/>
    <w:basedOn w:val="Normal"/>
    <w:next w:val="Normal"/>
    <w:autoRedefine/>
    <w:uiPriority w:val="99"/>
    <w:unhideWhenUsed/>
    <w:rsid w:val="00D55A22"/>
    <w:pPr>
      <w:tabs>
        <w:tab w:val="right" w:leader="dot" w:pos="10456"/>
      </w:tabs>
      <w:spacing w:before="0" w:after="0"/>
    </w:pPr>
  </w:style>
  <w:style w:type="table" w:customStyle="1" w:styleId="Grilledutableau1">
    <w:name w:val="Grille du tableau1"/>
    <w:basedOn w:val="TableNormal"/>
    <w:next w:val="TableGrid"/>
    <w:uiPriority w:val="59"/>
    <w:rsid w:val="0060430D"/>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04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Normal"/>
    <w:next w:val="TableGrid"/>
    <w:uiPriority w:val="59"/>
    <w:rsid w:val="001B46A1"/>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Normal"/>
    <w:next w:val="TableGrid"/>
    <w:uiPriority w:val="59"/>
    <w:rsid w:val="0014310C"/>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Normal"/>
    <w:next w:val="TableGrid"/>
    <w:uiPriority w:val="59"/>
    <w:rsid w:val="00E729DD"/>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51C0B"/>
    <w:rPr>
      <w:sz w:val="16"/>
      <w:szCs w:val="16"/>
    </w:rPr>
  </w:style>
  <w:style w:type="paragraph" w:styleId="CommentText">
    <w:name w:val="annotation text"/>
    <w:basedOn w:val="Normal"/>
    <w:link w:val="CommentTextChar"/>
    <w:uiPriority w:val="99"/>
    <w:unhideWhenUsed/>
    <w:rsid w:val="00751C0B"/>
    <w:pPr>
      <w:spacing w:line="240" w:lineRule="auto"/>
    </w:pPr>
    <w:rPr>
      <w:sz w:val="20"/>
      <w:szCs w:val="20"/>
    </w:rPr>
  </w:style>
  <w:style w:type="character" w:customStyle="1" w:styleId="CommentTextChar">
    <w:name w:val="Comment Text Char"/>
    <w:basedOn w:val="DefaultParagraphFont"/>
    <w:link w:val="CommentText"/>
    <w:uiPriority w:val="99"/>
    <w:rsid w:val="00751C0B"/>
    <w:rPr>
      <w:sz w:val="20"/>
      <w:szCs w:val="20"/>
    </w:rPr>
  </w:style>
  <w:style w:type="paragraph" w:styleId="CommentSubject">
    <w:name w:val="annotation subject"/>
    <w:basedOn w:val="CommentText"/>
    <w:next w:val="CommentText"/>
    <w:link w:val="CommentSubjectChar"/>
    <w:uiPriority w:val="99"/>
    <w:semiHidden/>
    <w:unhideWhenUsed/>
    <w:rsid w:val="00751C0B"/>
    <w:rPr>
      <w:b/>
      <w:bCs/>
    </w:rPr>
  </w:style>
  <w:style w:type="character" w:customStyle="1" w:styleId="CommentSubjectChar">
    <w:name w:val="Comment Subject Char"/>
    <w:basedOn w:val="CommentTextChar"/>
    <w:link w:val="CommentSubject"/>
    <w:uiPriority w:val="99"/>
    <w:semiHidden/>
    <w:rsid w:val="00751C0B"/>
    <w:rPr>
      <w:b/>
      <w:bCs/>
      <w:sz w:val="20"/>
      <w:szCs w:val="20"/>
    </w:rPr>
  </w:style>
  <w:style w:type="character" w:styleId="Mention">
    <w:name w:val="Mention"/>
    <w:basedOn w:val="DefaultParagraphFont"/>
    <w:uiPriority w:val="99"/>
    <w:unhideWhenUsed/>
    <w:rsid w:val="00751C0B"/>
    <w:rPr>
      <w:color w:val="2B579A"/>
      <w:shd w:val="clear" w:color="auto" w:fill="E1DFDD"/>
    </w:rPr>
  </w:style>
  <w:style w:type="table" w:customStyle="1" w:styleId="Grilledutableau5">
    <w:name w:val="Grille du tableau5"/>
    <w:basedOn w:val="TableNormal"/>
    <w:next w:val="TableGrid"/>
    <w:uiPriority w:val="59"/>
    <w:rsid w:val="009777C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Normal"/>
    <w:next w:val="TableGrid"/>
    <w:uiPriority w:val="59"/>
    <w:rsid w:val="009777C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E03D5B"/>
    <w:pPr>
      <w:spacing w:after="0" w:line="240" w:lineRule="auto"/>
    </w:pPr>
    <w:rPr>
      <w:rFonts w:ascii="Helvetica" w:hAnsi="Helvetica"/>
      <w:color w:val="000000"/>
      <w:sz w:val="16"/>
      <w:szCs w:val="20"/>
    </w:rPr>
  </w:style>
  <w:style w:type="character" w:customStyle="1" w:styleId="FootnoteTextChar">
    <w:name w:val="Footnote Text Char"/>
    <w:basedOn w:val="DefaultParagraphFont"/>
    <w:link w:val="FootnoteText"/>
    <w:uiPriority w:val="99"/>
    <w:rsid w:val="00E03D5B"/>
    <w:rPr>
      <w:sz w:val="20"/>
      <w:szCs w:val="20"/>
    </w:rPr>
  </w:style>
  <w:style w:type="table" w:customStyle="1" w:styleId="Grilledutableau7">
    <w:name w:val="Grille du tableau7"/>
    <w:basedOn w:val="TableNormal"/>
    <w:next w:val="TableGrid"/>
    <w:uiPriority w:val="59"/>
    <w:rsid w:val="008674C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Normal"/>
    <w:next w:val="TableGrid"/>
    <w:uiPriority w:val="59"/>
    <w:rsid w:val="001D73EB"/>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
    <w:name w:val="Grille du tableau9"/>
    <w:basedOn w:val="TableNormal"/>
    <w:next w:val="TableGrid"/>
    <w:uiPriority w:val="59"/>
    <w:rsid w:val="001E7B2E"/>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1D192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86092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4">
    <w:name w:val="toc 4"/>
    <w:basedOn w:val="Normal"/>
    <w:next w:val="Normal"/>
    <w:autoRedefine/>
    <w:uiPriority w:val="39"/>
    <w:unhideWhenUsed/>
    <w:rsid w:val="00403155"/>
    <w:pPr>
      <w:ind w:left="720"/>
    </w:pPr>
    <w:rPr>
      <w:rFonts w:eastAsiaTheme="minorEastAsia"/>
    </w:rPr>
  </w:style>
  <w:style w:type="paragraph" w:styleId="TOC5">
    <w:name w:val="toc 5"/>
    <w:basedOn w:val="Normal"/>
    <w:next w:val="Normal"/>
    <w:autoRedefine/>
    <w:uiPriority w:val="39"/>
    <w:unhideWhenUsed/>
    <w:rsid w:val="00403155"/>
    <w:pPr>
      <w:ind w:left="960"/>
    </w:pPr>
    <w:rPr>
      <w:rFonts w:eastAsiaTheme="minorEastAsia"/>
    </w:rPr>
  </w:style>
  <w:style w:type="paragraph" w:styleId="TOC6">
    <w:name w:val="toc 6"/>
    <w:basedOn w:val="Normal"/>
    <w:next w:val="Normal"/>
    <w:autoRedefine/>
    <w:uiPriority w:val="39"/>
    <w:unhideWhenUsed/>
    <w:rsid w:val="00403155"/>
    <w:pPr>
      <w:ind w:left="1200"/>
    </w:pPr>
    <w:rPr>
      <w:rFonts w:eastAsiaTheme="minorEastAsia"/>
    </w:rPr>
  </w:style>
  <w:style w:type="paragraph" w:styleId="TOC7">
    <w:name w:val="toc 7"/>
    <w:basedOn w:val="Normal"/>
    <w:next w:val="Normal"/>
    <w:autoRedefine/>
    <w:uiPriority w:val="39"/>
    <w:unhideWhenUsed/>
    <w:rsid w:val="00403155"/>
    <w:pPr>
      <w:ind w:left="1440"/>
    </w:pPr>
    <w:rPr>
      <w:rFonts w:eastAsiaTheme="minorEastAsia"/>
    </w:rPr>
  </w:style>
  <w:style w:type="paragraph" w:styleId="TOC8">
    <w:name w:val="toc 8"/>
    <w:basedOn w:val="Normal"/>
    <w:next w:val="Normal"/>
    <w:autoRedefine/>
    <w:uiPriority w:val="39"/>
    <w:unhideWhenUsed/>
    <w:rsid w:val="00403155"/>
    <w:pPr>
      <w:ind w:left="1680"/>
    </w:pPr>
    <w:rPr>
      <w:rFonts w:eastAsiaTheme="minorEastAsia"/>
    </w:rPr>
  </w:style>
  <w:style w:type="paragraph" w:styleId="TOC9">
    <w:name w:val="toc 9"/>
    <w:basedOn w:val="Normal"/>
    <w:next w:val="Normal"/>
    <w:autoRedefine/>
    <w:uiPriority w:val="39"/>
    <w:unhideWhenUsed/>
    <w:rsid w:val="00403155"/>
    <w:pPr>
      <w:ind w:left="1920"/>
    </w:pPr>
    <w:rPr>
      <w:rFonts w:eastAsiaTheme="minorEastAsia"/>
    </w:rPr>
  </w:style>
  <w:style w:type="character" w:styleId="UnresolvedMention">
    <w:name w:val="Unresolved Mention"/>
    <w:basedOn w:val="DefaultParagraphFont"/>
    <w:uiPriority w:val="99"/>
    <w:semiHidden/>
    <w:unhideWhenUsed/>
    <w:rsid w:val="00DC6698"/>
    <w:rPr>
      <w:color w:val="605E5C"/>
      <w:shd w:val="clear" w:color="auto" w:fill="E1DFDD"/>
    </w:rPr>
  </w:style>
  <w:style w:type="character" w:customStyle="1" w:styleId="text-token-text-primary">
    <w:name w:val="text-token-text-primary"/>
    <w:basedOn w:val="DefaultParagraphFont"/>
    <w:rsid w:val="00825A17"/>
  </w:style>
  <w:style w:type="paragraph" w:styleId="NoSpacing">
    <w:name w:val="No Spacing"/>
    <w:uiPriority w:val="1"/>
    <w:qFormat/>
    <w:rsid w:val="0063550D"/>
    <w:pPr>
      <w:spacing w:beforeAutospacing="1" w:after="0" w:afterAutospacing="1" w:line="240" w:lineRule="auto"/>
      <w:jc w:val="both"/>
    </w:pPr>
    <w:rPr>
      <w:rFonts w:ascii="Helvetica" w:eastAsia="Times New Roman" w:hAnsi="Helvetica" w:cs="Helvetica"/>
      <w:color w:val="000000"/>
      <w:kern w:val="0"/>
      <w:sz w:val="22"/>
      <w:szCs w:val="22"/>
      <w:lang w:eastAsia="fr-CI"/>
      <w14:ligatures w14:val="none"/>
    </w:rPr>
  </w:style>
  <w:style w:type="paragraph" w:customStyle="1" w:styleId="DecimalAligned">
    <w:name w:val="Decimal Aligned"/>
    <w:basedOn w:val="Normal"/>
    <w:uiPriority w:val="40"/>
    <w:qFormat/>
    <w:rsid w:val="006451E5"/>
    <w:pPr>
      <w:tabs>
        <w:tab w:val="decimal" w:pos="360"/>
      </w:tabs>
      <w:spacing w:before="0" w:beforeAutospacing="0" w:after="200" w:afterAutospacing="0"/>
      <w:jc w:val="left"/>
    </w:pPr>
    <w:rPr>
      <w:rFonts w:asciiTheme="minorHAnsi" w:eastAsiaTheme="minorEastAsia" w:hAnsiTheme="minorHAnsi" w:cs="Times New Roman"/>
      <w:color w:val="auto"/>
    </w:rPr>
  </w:style>
  <w:style w:type="character" w:styleId="SubtleEmphasis">
    <w:name w:val="Subtle Emphasis"/>
    <w:basedOn w:val="DefaultParagraphFont"/>
    <w:uiPriority w:val="19"/>
    <w:qFormat/>
    <w:rsid w:val="006451E5"/>
    <w:rPr>
      <w:i/>
      <w:iCs/>
    </w:rPr>
  </w:style>
  <w:style w:type="table" w:styleId="LightShading-Accent1">
    <w:name w:val="Light Shading Accent 1"/>
    <w:basedOn w:val="TableNormal"/>
    <w:uiPriority w:val="60"/>
    <w:rsid w:val="006451E5"/>
    <w:pPr>
      <w:spacing w:after="0" w:line="240" w:lineRule="auto"/>
    </w:pPr>
    <w:rPr>
      <w:rFonts w:eastAsiaTheme="minorEastAsia"/>
      <w:color w:val="0F4761" w:themeColor="accent1" w:themeShade="BF"/>
      <w:kern w:val="0"/>
      <w:sz w:val="22"/>
      <w:szCs w:val="22"/>
      <w:lang w:eastAsia="fr-CI"/>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Revision">
    <w:name w:val="Revision"/>
    <w:hidden/>
    <w:uiPriority w:val="99"/>
    <w:semiHidden/>
    <w:rsid w:val="008415C8"/>
    <w:pPr>
      <w:spacing w:after="0" w:line="240" w:lineRule="auto"/>
    </w:pPr>
    <w:rPr>
      <w:rFonts w:ascii="Helvetica" w:eastAsia="Times New Roman" w:hAnsi="Helvetica" w:cs="Helvetica"/>
      <w:color w:val="000000"/>
      <w:kern w:val="0"/>
      <w:sz w:val="22"/>
      <w:szCs w:val="22"/>
      <w:lang w:eastAsia="fr-C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5" Type="http://schemas.openxmlformats.org/officeDocument/2006/relationships/numbering" Target="numbering.xml"/><Relationship Id="rId8" Type="http://schemas.openxmlformats.org/officeDocument/2006/relationships/webSettings" Target="webSettings.xml"/><Relationship Id="rId93" Type="http://schemas.openxmlformats.org/officeDocument/2006/relationships/theme" Target="theme/theme1.xml"/><Relationship Id="rId12" Type="http://schemas.openxmlformats.org/officeDocument/2006/relationships/image" Target="media/image2.png"/><Relationship Id="rId6" Type="http://schemas.openxmlformats.org/officeDocument/2006/relationships/styles" Target="styles.xml"/><Relationship Id="rId10" Type="http://schemas.openxmlformats.org/officeDocument/2006/relationships/endnotes" Target="endnotes.xml"/><Relationship Id="rId9" Type="http://schemas.openxmlformats.org/officeDocument/2006/relationships/footnotes" Target="footnotes.xml"/><Relationship Id="rId13" Type="http://schemas.openxmlformats.org/officeDocument/2006/relationships/image" Target="media/image3.png"/><Relationship Id="rId7" Type="http://schemas.openxmlformats.org/officeDocument/2006/relationships/settings" Target="settings.xml"/><Relationship Id="rId92" Type="http://schemas.openxmlformats.org/officeDocument/2006/relationships/fontTable" Target="fontTable.xml"/><Relationship Id="rId14" Type="http://schemas.openxmlformats.org/officeDocument/2006/relationships/footer" Target="footer1.xml"/><Relationship Id="rId1" Type="http://schemas.openxmlformats.org/officeDocument/2006/relationships/chart" Target="charts/chart1.xml"/><Relationship Id="rId2" Type="http://schemas.openxmlformats.org/officeDocument/2006/relationships/chart" Target="charts/chart2.xml"/><Relationship Id="rId3" Type="http://schemas.openxmlformats.org/officeDocument/2006/relationships/chart" Target="charts/chart3.xml"/><Relationship Id="rId4" Type="http://schemas.openxmlformats.org/officeDocument/2006/relationships/chart" Target="charts/chart4.xml"/><Relationship Id="rId15" Type="http://schemas.openxmlformats.org/officeDocument/2006/relationships/chart" Target="charts/chart5.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c:date1904 val="0"/>
  <c:chart>
    <c:autoTitleDeleted val="1"/>
    <c:plotArea>
      <c:barChart>
        <c:barDir val="col"/>
        <c:grouping val="clustered"/>
        <c:ser>
          <c:idx val="0"/>
          <c:order val="0"/>
          <c:tx>
            <c:strRef>
              <c:f>Sheet1!$B$1</c:f>
              <c:strCache>
                <c:ptCount val="1"/>
                <c:pt idx="0">
                  <c:v>Épargne due aux policiers</c:v>
                </c:pt>
              </c:strCache>
            </c:strRef>
          </c:tx>
          <c:spPr>
            <a:solidFill>
              <a:srgbClr val="112A40"/>
            </a:solidFill>
          </c:spPr>
          <c:dLbls>
            <c:numFmt formatCode="0.00" sourceLinked="0"/>
            <c:txPr>
              <a:bodyPr/>
              <a:lstStyle/>
              <a:p>
                <a:pPr>
                  <a:defRPr sz="750"/>
                </a:pPr>
              </a:p>
            </c:txPr>
            <c:dLblPos val="outEnd"/>
            <c:showLegendKey val="0"/>
            <c:showVal val="1"/>
            <c:showCatName val="0"/>
            <c:showSerName val="0"/>
            <c:showPercent val="0"/>
            <c:showBubbleSize val="0"/>
            <c:showLeaderLines val="1"/>
          </c:dLbls>
          <c:cat>
            <c:strRef>
              <c:f>Sheet1!$A$2:$A$8</c:f>
              <c:strCache>
                <c:ptCount val="7"/>
                <c:pt idx="0">
                  <c:v>2020</c:v>
                </c:pt>
                <c:pt idx="1">
                  <c:v>2021</c:v>
                </c:pt>
                <c:pt idx="2">
                  <c:v>2022</c:v>
                </c:pt>
                <c:pt idx="3">
                  <c:v>2023</c:v>
                </c:pt>
                <c:pt idx="4">
                  <c:v>2024</c:v>
                </c:pt>
                <c:pt idx="5">
                  <c:v>2025</c:v>
                </c:pt>
                <c:pt idx="6">
                  <c:v>31/08/2026</c:v>
                </c:pt>
              </c:strCache>
            </c:strRef>
          </c:cat>
          <c:val>
            <c:numRef>
              <c:f>Sheet1!$B$2:$B$8</c:f>
              <c:numCache>
                <c:formatCode>0.00</c:formatCode>
                <c:ptCount val="7"/>
                <c:pt idx="0">
                  <c:v>10.83</c:v>
                </c:pt>
                <c:pt idx="1">
                  <c:v>10.15</c:v>
                </c:pt>
                <c:pt idx="2">
                  <c:v>9.36</c:v>
                </c:pt>
                <c:pt idx="3">
                  <c:v>9.12</c:v>
                </c:pt>
                <c:pt idx="4">
                  <c:v>10.79</c:v>
                </c:pt>
                <c:pt idx="5">
                  <c:v>13.81</c:v>
                </c:pt>
                <c:pt idx="6">
                  <c:v>15.74</c:v>
                </c:pt>
              </c:numCache>
            </c:numRef>
          </c:val>
        </c:ser>
        <c:ser>
          <c:idx val="1"/>
          <c:order val="1"/>
          <c:tx>
            <c:strRef>
              <c:f>Sheet1!$C$1</c:f>
              <c:strCache>
                <c:ptCount val="1"/>
                <c:pt idx="0">
                  <c:v>Argent mis de côté pour cette épargne</c:v>
                </c:pt>
              </c:strCache>
            </c:strRef>
          </c:tx>
          <c:spPr>
            <a:solidFill>
              <a:srgbClr val="EFAC62"/>
            </a:solidFill>
          </c:spPr>
          <c:dLbls>
            <c:numFmt formatCode="0.00" sourceLinked="0"/>
            <c:txPr>
              <a:bodyPr/>
              <a:lstStyle/>
              <a:p>
                <a:pPr>
                  <a:defRPr sz="750"/>
                </a:pPr>
              </a:p>
            </c:txPr>
            <c:dLblPos val="outEnd"/>
            <c:showLegendKey val="0"/>
            <c:showVal val="1"/>
            <c:showCatName val="0"/>
            <c:showSerName val="0"/>
            <c:showPercent val="0"/>
            <c:showBubbleSize val="0"/>
            <c:showLeaderLines val="1"/>
          </c:dLbls>
          <c:cat>
            <c:strRef>
              <c:f>Sheet1!$A$2:$A$8</c:f>
              <c:strCache>
                <c:ptCount val="7"/>
                <c:pt idx="0">
                  <c:v>2020</c:v>
                </c:pt>
                <c:pt idx="1">
                  <c:v>2021</c:v>
                </c:pt>
                <c:pt idx="2">
                  <c:v>2022</c:v>
                </c:pt>
                <c:pt idx="3">
                  <c:v>2023</c:v>
                </c:pt>
                <c:pt idx="4">
                  <c:v>2024</c:v>
                </c:pt>
                <c:pt idx="5">
                  <c:v>2025</c:v>
                </c:pt>
                <c:pt idx="6">
                  <c:v>31/08/2026</c:v>
                </c:pt>
              </c:strCache>
            </c:strRef>
          </c:cat>
          <c:val>
            <c:numRef>
              <c:f>Sheet1!$C$2:$C$8</c:f>
              <c:numCache>
                <c:formatCode>0.00</c:formatCode>
                <c:ptCount val="7"/>
                <c:pt idx="0">
                  <c:v>0.71</c:v>
                </c:pt>
                <c:pt idx="1">
                  <c:v>1.96</c:v>
                </c:pt>
                <c:pt idx="2">
                  <c:v>0.89</c:v>
                </c:pt>
                <c:pt idx="3">
                  <c:v>0.84</c:v>
                </c:pt>
                <c:pt idx="4">
                  <c:v>0.7</c:v>
                </c:pt>
                <c:pt idx="5">
                  <c:v>1.61</c:v>
                </c:pt>
                <c:pt idx="6">
                  <c:v>2.56</c:v>
                </c:pt>
              </c:numCache>
            </c:numRef>
          </c:val>
        </c:ser>
        <c:gapWidth val="60"/>
        <c:axId val="-2068027336"/>
        <c:axId val="-2113994440"/>
      </c:barChart>
      <c:catAx>
        <c:axId val="-2068027336"/>
        <c:scaling>
          <c:orientation val="minMax"/>
        </c:scaling>
        <c:delete val="0"/>
        <c:axPos val="b"/>
        <c:majorTickMark val="out"/>
        <c:minorTickMark val="none"/>
        <c:tickLblPos val="nextTo"/>
        <c:spPr>
          <a:ln>
            <a:solidFill>
              <a:srgbClr val="060606"/>
            </a:solidFill>
          </a:ln>
        </c:spPr>
        <c:txPr>
          <a:bodyPr/>
          <a:lstStyle/>
          <a:p>
            <a:pPr>
              <a:defRPr sz="800"/>
            </a:pPr>
          </a:p>
        </c:txPr>
        <c:crossAx val="-2113994440"/>
        <c:crosses val="autoZero"/>
        <c:auto val="1"/>
        <c:lblAlgn val="ctr"/>
        <c:lblOffset val="100"/>
        <c:noMultiLvlLbl val="0"/>
      </c:catAx>
      <c:valAx>
        <c:axId val="-2113994440"/>
        <c:scaling/>
        <c:delete val="0"/>
        <c:axPos val="l"/>
        <c:majorGridlines>
          <c:spPr>
            <a:ln>
              <a:solidFill>
                <a:srgbClr val="D9D9D9"/>
              </a:solidFill>
            </a:ln>
          </c:spPr>
        </c:majorGridlines>
        <c:title>
          <c:tx>
            <c:rich>
              <a:bodyPr/>
              <a:lstStyle/>
              <a:p>
                <a:r>
                  <a:rPr sz="800" b="0"/>
                  <a:t>Milliards de FCFA</a:t>
                </a:r>
              </a:p>
            </c:rich>
          </c:tx>
          <c:layout/>
          <c:overlay val="0"/>
        </c:title>
        <c:numFmt formatCode="0" sourceLinked="0"/>
        <c:majorTickMark val="out"/>
        <c:minorTickMark val="none"/>
        <c:tickLblPos val="nextTo"/>
        <c:spPr>
          <a:ln>
            <a:noFill/>
          </a:ln>
        </c:spPr>
        <c:txPr>
          <a:bodyPr/>
          <a:lstStyle/>
          <a:p>
            <a:pPr>
              <a:defRPr sz="800"/>
            </a:pPr>
          </a:p>
        </c:txPr>
        <c:crossAx val="-2068027336"/>
        <c:crosses val="autoZero"/>
      </c:valAx>
    </c:plotArea>
    <c:legend>
      <c:legendPos val="b"/>
      <c:overlay val="0"/>
    </c:legend>
    <c:dispBlanksAs val="gap"/>
  </c:chart>
  <c:txPr>
    <a:bodyPr/>
    <a:lstStyle/>
    <a:p>
      <a:pPr>
        <a:defRPr sz="900">
          <a:latin typeface="Helvetica"/>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chart>
    <c:autoTitleDeleted val="1"/>
    <c:plotArea>
      <c:lineChart>
        <c:grouping val="standard"/>
        <c:varyColors val="0"/>
        <c:ser>
          <c:idx val="0"/>
          <c:order val="0"/>
          <c:tx>
            <c:strRef>
              <c:f>Sheet1!$B$1</c:f>
              <c:strCache>
                <c:ptCount val="1"/>
                <c:pt idx="0">
                  <c:v>Maladie</c:v>
                </c:pt>
              </c:strCache>
            </c:strRef>
          </c:tx>
          <c:spPr>
            <a:ln w="28575">
              <a:solidFill>
                <a:srgbClr val="112A40"/>
              </a:solidFill>
            </a:ln>
          </c:spPr>
          <c:marker>
            <c:spPr>
              <a:solidFill>
                <a:srgbClr val="112A40"/>
              </a:solidFill>
              <a:ln>
                <a:solidFill>
                  <a:srgbClr val="112A40"/>
                </a:solidFill>
              </a:ln>
            </c:spPr>
          </c:marker>
          <c:dLbls>
            <c:numFmt formatCode="0.00" sourceLinked="0"/>
            <c:txPr>
              <a:bodyPr/>
              <a:lstStyle/>
              <a:p>
                <a:pPr>
                  <a:defRPr sz="750"/>
                </a:pPr>
              </a:p>
            </c:txPr>
            <c:dLblPos val="t"/>
            <c:showLegendKey val="0"/>
            <c:showVal val="1"/>
            <c:showCatName val="0"/>
            <c:showSerName val="0"/>
            <c:showPercent val="0"/>
            <c:showBubbleSize val="0"/>
            <c:showLeaderLines val="1"/>
          </c:dLbls>
          <c:cat>
            <c:strRef>
              <c:f>Sheet1!$A$2:$A$8</c:f>
              <c:strCache>
                <c:ptCount val="7"/>
                <c:pt idx="0">
                  <c:v>2020</c:v>
                </c:pt>
                <c:pt idx="1">
                  <c:v>2021</c:v>
                </c:pt>
                <c:pt idx="2">
                  <c:v>2022</c:v>
                </c:pt>
                <c:pt idx="3">
                  <c:v>2023</c:v>
                </c:pt>
                <c:pt idx="4">
                  <c:v>2024</c:v>
                </c:pt>
                <c:pt idx="5">
                  <c:v>2025</c:v>
                </c:pt>
                <c:pt idx="6">
                  <c:v>31/08/2026</c:v>
                </c:pt>
              </c:strCache>
            </c:strRef>
          </c:cat>
          <c:val>
            <c:numRef>
              <c:f>Sheet1!$B$2:$B$8</c:f>
              <c:numCache>
                <c:formatCode>0.00</c:formatCode>
                <c:ptCount val="7"/>
                <c:pt idx="0">
                  <c:v>12.54</c:v>
                </c:pt>
                <c:pt idx="1">
                  <c:v>6.0</c:v>
                </c:pt>
                <c:pt idx="2">
                  <c:v>6.47</c:v>
                </c:pt>
                <c:pt idx="3">
                  <c:v>26.91</c:v>
                </c:pt>
                <c:pt idx="4">
                  <c:v>48.13</c:v>
                </c:pt>
                <c:pt idx="5">
                  <c:v>73.53</c:v>
                </c:pt>
                <c:pt idx="6">
                  <c:v>97.4</c:v>
                </c:pt>
              </c:numCache>
            </c:numRef>
          </c:val>
          <c:smooth val="0"/>
        </c:ser>
        <c:ser>
          <c:idx val="1"/>
          <c:order val="1"/>
          <c:tx>
            <c:strRef>
              <c:f>Sheet1!$C$1</c:f>
              <c:strCache>
                <c:ptCount val="1"/>
                <c:pt idx="0">
                  <c:v>Décès</c:v>
                </c:pt>
              </c:strCache>
            </c:strRef>
          </c:tx>
          <c:spPr>
            <a:ln w="28575">
              <a:solidFill>
                <a:srgbClr val="EFAC62"/>
              </a:solidFill>
            </a:ln>
          </c:spPr>
          <c:marker>
            <c:spPr>
              <a:solidFill>
                <a:srgbClr val="EFAC62"/>
              </a:solidFill>
              <a:ln>
                <a:solidFill>
                  <a:srgbClr val="EFAC62"/>
                </a:solidFill>
              </a:ln>
            </c:spPr>
          </c:marker>
          <c:cat>
            <c:strRef>
              <c:f>Sheet1!$A$2:$A$8</c:f>
              <c:strCache>
                <c:ptCount val="7"/>
                <c:pt idx="0">
                  <c:v>2020</c:v>
                </c:pt>
                <c:pt idx="1">
                  <c:v>2021</c:v>
                </c:pt>
                <c:pt idx="2">
                  <c:v>2022</c:v>
                </c:pt>
                <c:pt idx="3">
                  <c:v>2023</c:v>
                </c:pt>
                <c:pt idx="4">
                  <c:v>2024</c:v>
                </c:pt>
                <c:pt idx="5">
                  <c:v>2025</c:v>
                </c:pt>
                <c:pt idx="6">
                  <c:v>31/08/2026</c:v>
                </c:pt>
              </c:strCache>
            </c:strRef>
          </c:cat>
          <c:val>
            <c:numRef>
              <c:f>Sheet1!$C$2:$C$8</c:f>
              <c:numCache>
                <c:formatCode>0.00</c:formatCode>
                <c:ptCount val="7"/>
                <c:pt idx="0">
                  <c:v>82.23</c:v>
                </c:pt>
                <c:pt idx="1">
                  <c:v>55.42</c:v>
                </c:pt>
                <c:pt idx="2">
                  <c:v>15.21</c:v>
                </c:pt>
                <c:pt idx="3">
                  <c:v>17.05</c:v>
                </c:pt>
                <c:pt idx="4">
                  <c:v>21.81</c:v>
                </c:pt>
                <c:pt idx="5">
                  <c:v>19.14</c:v>
                </c:pt>
                <c:pt idx="6">
                  <c:v>21.76</c:v>
                </c:pt>
              </c:numCache>
            </c:numRef>
          </c:val>
          <c:smooth val="0"/>
        </c:ser>
        <c:ser>
          <c:idx val="2"/>
          <c:order val="2"/>
          <c:tx>
            <c:strRef>
              <c:f>Sheet1!$D$1</c:f>
              <c:strCache>
                <c:ptCount val="1"/>
                <c:pt idx="0">
                  <c:v>Toutes garanties (taux de l'AIRMS)</c:v>
                </c:pt>
              </c:strCache>
            </c:strRef>
          </c:tx>
          <c:spPr>
            <a:ln w="28575">
              <a:solidFill>
                <a:srgbClr val="060606"/>
              </a:solidFill>
              <a:prstDash val="dash"/>
            </a:ln>
          </c:spPr>
          <c:marker>
            <c:spPr>
              <a:solidFill>
                <a:srgbClr val="060606"/>
              </a:solidFill>
              <a:ln>
                <a:solidFill>
                  <a:srgbClr val="060606"/>
                </a:solidFill>
              </a:ln>
            </c:spPr>
          </c:marker>
          <c:cat>
            <c:strRef>
              <c:f>Sheet1!$A$2:$A$8</c:f>
              <c:strCache>
                <c:ptCount val="7"/>
                <c:pt idx="0">
                  <c:v>2020</c:v>
                </c:pt>
                <c:pt idx="1">
                  <c:v>2021</c:v>
                </c:pt>
                <c:pt idx="2">
                  <c:v>2022</c:v>
                </c:pt>
                <c:pt idx="3">
                  <c:v>2023</c:v>
                </c:pt>
                <c:pt idx="4">
                  <c:v>2024</c:v>
                </c:pt>
                <c:pt idx="5">
                  <c:v>2025</c:v>
                </c:pt>
                <c:pt idx="6">
                  <c:v>31/08/2026</c:v>
                </c:pt>
              </c:strCache>
            </c:strRef>
          </c:cat>
          <c:val>
            <c:numRef>
              <c:f>Sheet1!$D$2:$D$8</c:f>
              <c:numCache>
                <c:formatCode>0.00</c:formatCode>
                <c:ptCount val="7"/>
                <c:pt idx="0">
                  <c:v>8.92</c:v>
                </c:pt>
                <c:pt idx="1">
                  <c:v>20.77</c:v>
                </c:pt>
                <c:pt idx="2">
                  <c:v>9.06</c:v>
                </c:pt>
                <c:pt idx="3">
                  <c:v>24.56</c:v>
                </c:pt>
                <c:pt idx="4">
                  <c:v>40.34</c:v>
                </c:pt>
                <c:pt idx="5">
                  <c:v>57.48</c:v>
                </c:pt>
                <c:pt idx="6">
                  <c:v>75.2</c:v>
                </c:pt>
              </c:numCache>
            </c:numRef>
          </c:val>
          <c:smooth val="0"/>
        </c:ser>
        <c:ser>
          <c:idx val="3"/>
          <c:order val="3"/>
          <c:tx>
            <c:strRef>
              <c:f>Sheet1!$E$1</c:f>
              <c:strCache>
                <c:ptCount val="1"/>
                <c:pt idx="0">
                  <c:v>Bas de la fourchette de l'AIRMS (70 %)</c:v>
                </c:pt>
              </c:strCache>
            </c:strRef>
          </c:tx>
          <c:spPr>
            <a:ln w="15875">
              <a:solidFill>
                <a:srgbClr val="BBBCBC"/>
              </a:solidFill>
            </a:ln>
          </c:spPr>
          <c:marker>
            <c:symbol val="none"/>
          </c:marker>
          <c:cat>
            <c:strRef>
              <c:f>Sheet1!$A$2:$A$8</c:f>
              <c:strCache>
                <c:ptCount val="7"/>
                <c:pt idx="0">
                  <c:v>2020</c:v>
                </c:pt>
                <c:pt idx="1">
                  <c:v>2021</c:v>
                </c:pt>
                <c:pt idx="2">
                  <c:v>2022</c:v>
                </c:pt>
                <c:pt idx="3">
                  <c:v>2023</c:v>
                </c:pt>
                <c:pt idx="4">
                  <c:v>2024</c:v>
                </c:pt>
                <c:pt idx="5">
                  <c:v>2025</c:v>
                </c:pt>
                <c:pt idx="6">
                  <c:v>31/08/2026</c:v>
                </c:pt>
              </c:strCache>
            </c:strRef>
          </c:cat>
          <c:val>
            <c:numRef>
              <c:f>Sheet1!$E$2:$E$8</c:f>
              <c:numCache>
                <c:formatCode>0.00</c:formatCode>
                <c:ptCount val="7"/>
                <c:pt idx="0">
                  <c:v>70</c:v>
                </c:pt>
                <c:pt idx="1">
                  <c:v>70</c:v>
                </c:pt>
                <c:pt idx="2">
                  <c:v>70</c:v>
                </c:pt>
                <c:pt idx="3">
                  <c:v>70</c:v>
                </c:pt>
                <c:pt idx="4">
                  <c:v>70</c:v>
                </c:pt>
                <c:pt idx="5">
                  <c:v>70</c:v>
                </c:pt>
                <c:pt idx="6">
                  <c:v>70</c:v>
                </c:pt>
              </c:numCache>
            </c:numRef>
          </c:val>
          <c:smooth val="0"/>
        </c:ser>
        <c:ser>
          <c:idx val="4"/>
          <c:order val="4"/>
          <c:tx>
            <c:strRef>
              <c:f>Sheet1!$F$1</c:f>
              <c:strCache>
                <c:ptCount val="1"/>
                <c:pt idx="0">
                  <c:v>Haut de la fourchette de l'AIRMS (80 %)</c:v>
                </c:pt>
              </c:strCache>
            </c:strRef>
          </c:tx>
          <c:spPr>
            <a:ln w="15875">
              <a:solidFill>
                <a:srgbClr val="BBBCBC"/>
              </a:solidFill>
            </a:ln>
          </c:spPr>
          <c:marker>
            <c:symbol val="none"/>
          </c:marker>
          <c:cat>
            <c:strRef>
              <c:f>Sheet1!$A$2:$A$8</c:f>
              <c:strCache>
                <c:ptCount val="7"/>
                <c:pt idx="0">
                  <c:v>2020</c:v>
                </c:pt>
                <c:pt idx="1">
                  <c:v>2021</c:v>
                </c:pt>
                <c:pt idx="2">
                  <c:v>2022</c:v>
                </c:pt>
                <c:pt idx="3">
                  <c:v>2023</c:v>
                </c:pt>
                <c:pt idx="4">
                  <c:v>2024</c:v>
                </c:pt>
                <c:pt idx="5">
                  <c:v>2025</c:v>
                </c:pt>
                <c:pt idx="6">
                  <c:v>31/08/2026</c:v>
                </c:pt>
              </c:strCache>
            </c:strRef>
          </c:cat>
          <c:val>
            <c:numRef>
              <c:f>Sheet1!$F$2:$F$8</c:f>
              <c:numCache>
                <c:formatCode>0.00</c:formatCode>
                <c:ptCount val="7"/>
                <c:pt idx="0">
                  <c:v>80</c:v>
                </c:pt>
                <c:pt idx="1">
                  <c:v>80</c:v>
                </c:pt>
                <c:pt idx="2">
                  <c:v>80</c:v>
                </c:pt>
                <c:pt idx="3">
                  <c:v>80</c:v>
                </c:pt>
                <c:pt idx="4">
                  <c:v>80</c:v>
                </c:pt>
                <c:pt idx="5">
                  <c:v>80</c:v>
                </c:pt>
                <c:pt idx="6">
                  <c:v>80</c:v>
                </c:pt>
              </c:numCache>
            </c:numRef>
          </c:val>
          <c:smooth val="0"/>
        </c:ser>
        <c:marker val="1"/>
        <c:smooth val="0"/>
        <c:axId val="2118791784"/>
        <c:axId val="2140495176"/>
      </c:lineChart>
      <c:catAx>
        <c:axId val="2118791784"/>
        <c:scaling>
          <c:orientation val="minMax"/>
        </c:scaling>
        <c:delete val="0"/>
        <c:axPos val="b"/>
        <c:majorTickMark val="out"/>
        <c:minorTickMark val="none"/>
        <c:tickLblPos val="nextTo"/>
        <c:spPr>
          <a:ln>
            <a:solidFill>
              <a:srgbClr val="060606"/>
            </a:solidFill>
          </a:ln>
        </c:spPr>
        <c:txPr>
          <a:bodyPr/>
          <a:lstStyle/>
          <a:p>
            <a:pPr>
              <a:defRPr sz="800"/>
            </a:pPr>
          </a:p>
        </c:txPr>
        <c:crossAx val="2140495176"/>
        <c:crosses val="autoZero"/>
        <c:auto val="1"/>
        <c:lblAlgn val="ctr"/>
        <c:lblOffset val="100"/>
        <c:noMultiLvlLbl val="0"/>
      </c:catAx>
      <c:valAx>
        <c:axId val="2140495176"/>
        <c:scaling>
          <c:max val="110.0"/>
          <c:min val="0.0"/>
        </c:scaling>
        <c:delete val="0"/>
        <c:axPos val="l"/>
        <c:majorGridlines>
          <c:spPr>
            <a:ln>
              <a:solidFill>
                <a:srgbClr val="D9D9D9"/>
              </a:solidFill>
            </a:ln>
          </c:spPr>
        </c:majorGridlines>
        <c:title>
          <c:tx>
            <c:rich>
              <a:bodyPr/>
              <a:lstStyle/>
              <a:p>
                <a:r>
                  <a:rPr sz="800" b="0"/>
                  <a:t>% des cotisations</a:t>
                </a:r>
              </a:p>
            </c:rich>
          </c:tx>
          <c:layout/>
          <c:overlay val="0"/>
        </c:title>
        <c:numFmt formatCode="0" sourceLinked="0"/>
        <c:majorTickMark val="out"/>
        <c:minorTickMark val="none"/>
        <c:tickLblPos val="nextTo"/>
        <c:spPr>
          <a:ln>
            <a:noFill/>
          </a:ln>
        </c:spPr>
        <c:txPr>
          <a:bodyPr/>
          <a:lstStyle/>
          <a:p>
            <a:pPr>
              <a:defRPr sz="800"/>
            </a:pPr>
          </a:p>
        </c:txPr>
        <c:crossAx val="2118791784"/>
        <c:crosses val="autoZero"/>
      </c:valAx>
    </c:plotArea>
    <c:legend>
      <c:legendPos val="b"/>
      <c:layout/>
      <c:overlay val="0"/>
    </c:legend>
    <c:plotVisOnly val="1"/>
    <c:dispBlanksAs val="gap"/>
    <c:showDLblsOverMax val="0"/>
  </c:chart>
  <c:txPr>
    <a:bodyPr/>
    <a:lstStyle/>
    <a:p>
      <a:pPr>
        <a:defRPr sz="900">
          <a:latin typeface="Helvetica"/>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chart>
    <c:autoTitleDeleted val="1"/>
    <c:plotArea>
      <c:barChart>
        <c:barDir val="col"/>
        <c:grouping val="clustered"/>
        <c:ser>
          <c:idx val="0"/>
          <c:order val="0"/>
          <c:tx>
            <c:strRef>
              <c:f>Sheet1!$B$1</c:f>
              <c:strCache>
                <c:ptCount val="1"/>
                <c:pt idx="0">
                  <c:v>Fonds propres (réserves moins pertes passées)</c:v>
                </c:pt>
              </c:strCache>
            </c:strRef>
          </c:tx>
          <c:spPr>
            <a:solidFill>
              <a:srgbClr val="112A40"/>
            </a:solidFill>
          </c:spPr>
          <c:dLbls>
            <c:numFmt formatCode="0.00" sourceLinked="0"/>
            <c:txPr>
              <a:bodyPr/>
              <a:lstStyle/>
              <a:p>
                <a:pPr>
                  <a:defRPr sz="750"/>
                </a:pPr>
              </a:p>
            </c:txPr>
            <c:dLblPos val="outEnd"/>
            <c:showLegendKey val="0"/>
            <c:showVal val="1"/>
            <c:showCatName val="0"/>
            <c:showSerName val="0"/>
            <c:showPercent val="0"/>
            <c:showBubbleSize val="0"/>
            <c:showLeaderLines val="1"/>
          </c:dLbls>
          <c:cat>
            <c:strRef>
              <c:f>Sheet1!$A$2:$A$8</c:f>
              <c:strCache>
                <c:ptCount val="7"/>
                <c:pt idx="0">
                  <c:v>2020</c:v>
                </c:pt>
                <c:pt idx="1">
                  <c:v>2021</c:v>
                </c:pt>
                <c:pt idx="2">
                  <c:v>2022</c:v>
                </c:pt>
                <c:pt idx="3">
                  <c:v>2023</c:v>
                </c:pt>
                <c:pt idx="4">
                  <c:v>2024</c:v>
                </c:pt>
                <c:pt idx="5">
                  <c:v>2025</c:v>
                </c:pt>
                <c:pt idx="6">
                  <c:v>31/08/2026</c:v>
                </c:pt>
              </c:strCache>
            </c:strRef>
          </c:cat>
          <c:val>
            <c:numRef>
              <c:f>Sheet1!$B$2:$B$8</c:f>
              <c:numCache>
                <c:formatCode>0.00</c:formatCode>
                <c:ptCount val="7"/>
                <c:pt idx="0">
                  <c:v>-6.74</c:v>
                </c:pt>
                <c:pt idx="1">
                  <c:v>-4.66</c:v>
                </c:pt>
                <c:pt idx="2">
                  <c:v>-2.6</c:v>
                </c:pt>
                <c:pt idx="3">
                  <c:v>-1.67</c:v>
                </c:pt>
                <c:pt idx="4">
                  <c:v>-0.88</c:v>
                </c:pt>
                <c:pt idx="5">
                  <c:v>-0.44</c:v>
                </c:pt>
                <c:pt idx="6">
                  <c:v>-0.88</c:v>
                </c:pt>
              </c:numCache>
            </c:numRef>
          </c:val>
        </c:ser>
        <c:ser>
          <c:idx val="1"/>
          <c:order val="1"/>
          <c:tx>
            <c:strRef>
              <c:f>Sheet1!$C$1</c:f>
              <c:strCache>
                <c:ptCount val="1"/>
                <c:pt idx="0">
                  <c:v>Résultat de l'année</c:v>
                </c:pt>
              </c:strCache>
            </c:strRef>
          </c:tx>
          <c:spPr>
            <a:solidFill>
              <a:srgbClr val="EFAC62"/>
            </a:solidFill>
          </c:spPr>
          <c:dLbls>
            <c:numFmt formatCode="0.00" sourceLinked="0"/>
            <c:txPr>
              <a:bodyPr/>
              <a:lstStyle/>
              <a:p>
                <a:pPr>
                  <a:defRPr sz="750"/>
                </a:pPr>
              </a:p>
            </c:txPr>
            <c:dLblPos val="outEnd"/>
            <c:showLegendKey val="0"/>
            <c:showVal val="1"/>
            <c:showCatName val="0"/>
            <c:showSerName val="0"/>
            <c:showPercent val="0"/>
            <c:showBubbleSize val="0"/>
            <c:showLeaderLines val="1"/>
          </c:dLbls>
          <c:cat>
            <c:strRef>
              <c:f>Sheet1!$A$2:$A$8</c:f>
              <c:strCache>
                <c:ptCount val="7"/>
                <c:pt idx="0">
                  <c:v>2020</c:v>
                </c:pt>
                <c:pt idx="1">
                  <c:v>2021</c:v>
                </c:pt>
                <c:pt idx="2">
                  <c:v>2022</c:v>
                </c:pt>
                <c:pt idx="3">
                  <c:v>2023</c:v>
                </c:pt>
                <c:pt idx="4">
                  <c:v>2024</c:v>
                </c:pt>
                <c:pt idx="5">
                  <c:v>2025</c:v>
                </c:pt>
                <c:pt idx="6">
                  <c:v>31/08/2026</c:v>
                </c:pt>
              </c:strCache>
            </c:strRef>
          </c:cat>
          <c:val>
            <c:numRef>
              <c:f>Sheet1!$C$2:$C$8</c:f>
              <c:numCache>
                <c:formatCode>0.00</c:formatCode>
                <c:ptCount val="7"/>
                <c:pt idx="0">
                  <c:v>1.02</c:v>
                </c:pt>
                <c:pt idx="1">
                  <c:v>2.08</c:v>
                </c:pt>
                <c:pt idx="2">
                  <c:v>2.06</c:v>
                </c:pt>
                <c:pt idx="3">
                  <c:v>0.93</c:v>
                </c:pt>
                <c:pt idx="4">
                  <c:v>0.79</c:v>
                </c:pt>
                <c:pt idx="5">
                  <c:v>0.44</c:v>
                </c:pt>
                <c:pt idx="6">
                  <c:v>-0.44</c:v>
                </c:pt>
              </c:numCache>
            </c:numRef>
          </c:val>
        </c:ser>
        <c:gapWidth val="60"/>
        <c:axId val="-2068027336"/>
        <c:axId val="-2113994440"/>
      </c:barChart>
      <c:catAx>
        <c:axId val="-2068027336"/>
        <c:scaling>
          <c:orientation val="minMax"/>
        </c:scaling>
        <c:delete val="0"/>
        <c:axPos val="b"/>
        <c:majorTickMark val="out"/>
        <c:minorTickMark val="none"/>
        <c:tickLblPos val="low"/>
        <c:spPr>
          <a:ln>
            <a:solidFill>
              <a:srgbClr val="060606"/>
            </a:solidFill>
          </a:ln>
        </c:spPr>
        <c:txPr>
          <a:bodyPr/>
          <a:lstStyle/>
          <a:p>
            <a:pPr>
              <a:defRPr sz="800"/>
            </a:pPr>
          </a:p>
        </c:txPr>
        <c:crossAx val="-2113994440"/>
        <c:crosses val="autoZero"/>
        <c:auto val="1"/>
        <c:lblAlgn val="ctr"/>
        <c:lblOffset val="100"/>
        <c:noMultiLvlLbl val="0"/>
      </c:catAx>
      <c:valAx>
        <c:axId val="-2113994440"/>
        <c:scaling/>
        <c:delete val="0"/>
        <c:axPos val="l"/>
        <c:majorGridlines>
          <c:spPr>
            <a:ln>
              <a:solidFill>
                <a:srgbClr val="D9D9D9"/>
              </a:solidFill>
            </a:ln>
          </c:spPr>
        </c:majorGridlines>
        <c:title>
          <c:tx>
            <c:rich>
              <a:bodyPr/>
              <a:lstStyle/>
              <a:p>
                <a:r>
                  <a:rPr sz="800" b="0"/>
                  <a:t>Milliards de FCFA</a:t>
                </a:r>
              </a:p>
            </c:rich>
          </c:tx>
          <c:layout/>
          <c:overlay val="0"/>
        </c:title>
        <c:numFmt formatCode="0" sourceLinked="0"/>
        <c:majorTickMark val="out"/>
        <c:minorTickMark val="none"/>
        <c:tickLblPos val="nextTo"/>
        <c:spPr>
          <a:ln>
            <a:noFill/>
          </a:ln>
        </c:spPr>
        <c:txPr>
          <a:bodyPr/>
          <a:lstStyle/>
          <a:p>
            <a:pPr>
              <a:defRPr sz="800"/>
            </a:pPr>
          </a:p>
        </c:txPr>
        <c:crossAx val="-2068027336"/>
        <c:crosses val="autoZero"/>
      </c:valAx>
    </c:plotArea>
    <c:legend>
      <c:legendPos val="b"/>
      <c:overlay val="0"/>
    </c:legend>
    <c:dispBlanksAs val="gap"/>
  </c:chart>
  <c:txPr>
    <a:bodyPr/>
    <a:lstStyle/>
    <a:p>
      <a:pPr>
        <a:defRPr sz="900">
          <a:latin typeface="Helvetica"/>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chart>
    <c:autoTitleDeleted val="1"/>
    <c:plotArea>
      <c:barChart>
        <c:barDir val="col"/>
        <c:grouping val="clustered"/>
        <c:ser>
          <c:idx val="0"/>
          <c:order val="0"/>
          <c:tx>
            <c:strRef>
              <c:f>Sheet1!$B$1</c:f>
              <c:strCache>
                <c:ptCount val="1"/>
                <c:pt idx="0">
                  <c:v>Montant au bilan du FPPN</c:v>
                </c:pt>
              </c:strCache>
            </c:strRef>
          </c:tx>
          <c:spPr>
            <a:solidFill>
              <a:srgbClr val="112A40"/>
            </a:solidFill>
          </c:spPr>
          <c:dLbls>
            <c:numFmt formatCode="0.00" sourceLinked="0"/>
            <c:txPr>
              <a:bodyPr/>
              <a:lstStyle/>
              <a:p>
                <a:pPr>
                  <a:defRPr sz="750"/>
                </a:pPr>
              </a:p>
            </c:txPr>
            <c:dLblPos val="outEnd"/>
            <c:showLegendKey val="0"/>
            <c:showVal val="1"/>
            <c:showCatName val="0"/>
            <c:showSerName val="0"/>
            <c:showPercent val="0"/>
            <c:showBubbleSize val="0"/>
            <c:showLeaderLines val="1"/>
          </c:dLbls>
          <c:cat>
            <c:strRef>
              <c:f>Sheet1!$A$2:$A$5</c:f>
              <c:strCache>
                <c:ptCount val="4"/>
                <c:pt idx="0">
                  <c:v>Maladie</c:v>
                </c:pt>
                <c:pt idx="1">
                  <c:v>Décès (obsèques)</c:v>
                </c:pt>
                <c:pt idx="2">
                  <c:v>Intérêts dus sur l'épargne</c:v>
                </c:pt>
                <c:pt idx="3">
                  <c:v>Pertes sur les prêts du Grenier</c:v>
                </c:pt>
              </c:strCache>
            </c:strRef>
          </c:cat>
          <c:val>
            <c:numRef>
              <c:f>Sheet1!$B$2:$B$5</c:f>
              <c:numCache>
                <c:formatCode>0.00</c:formatCode>
                <c:ptCount val="4"/>
                <c:pt idx="0">
                  <c:v>2.87</c:v>
                </c:pt>
                <c:pt idx="1">
                  <c:v>1.96</c:v>
                </c:pt>
                <c:pt idx="2">
                  <c:v>0.0</c:v>
                </c:pt>
                <c:pt idx="3">
                  <c:v>0.0</c:v>
                </c:pt>
              </c:numCache>
            </c:numRef>
          </c:val>
        </c:ser>
        <c:ser>
          <c:idx val="1"/>
          <c:order val="1"/>
          <c:tx>
            <c:strRef>
              <c:f>Sheet1!$C$1</c:f>
              <c:strCache>
                <c:ptCount val="1"/>
                <c:pt idx="0">
                  <c:v>Besoin mesuré par Adenka</c:v>
                </c:pt>
              </c:strCache>
            </c:strRef>
          </c:tx>
          <c:spPr>
            <a:solidFill>
              <a:srgbClr val="EFAC62"/>
            </a:solidFill>
          </c:spPr>
          <c:dLbls>
            <c:numFmt formatCode="0.00" sourceLinked="0"/>
            <c:txPr>
              <a:bodyPr/>
              <a:lstStyle/>
              <a:p>
                <a:pPr>
                  <a:defRPr sz="750"/>
                </a:pPr>
              </a:p>
            </c:txPr>
            <c:dLblPos val="outEnd"/>
            <c:showLegendKey val="0"/>
            <c:showVal val="1"/>
            <c:showCatName val="0"/>
            <c:showSerName val="0"/>
            <c:showPercent val="0"/>
            <c:showBubbleSize val="0"/>
            <c:showLeaderLines val="1"/>
          </c:dLbls>
          <c:cat>
            <c:strRef>
              <c:f>Sheet1!$A$2:$A$5</c:f>
              <c:strCache>
                <c:ptCount val="4"/>
                <c:pt idx="0">
                  <c:v>Maladie</c:v>
                </c:pt>
                <c:pt idx="1">
                  <c:v>Décès (obsèques)</c:v>
                </c:pt>
                <c:pt idx="2">
                  <c:v>Intérêts dus sur l'épargne</c:v>
                </c:pt>
                <c:pt idx="3">
                  <c:v>Pertes sur les prêts du Grenier</c:v>
                </c:pt>
              </c:strCache>
            </c:strRef>
          </c:cat>
          <c:val>
            <c:numRef>
              <c:f>Sheet1!$C$2:$C$5</c:f>
              <c:numCache>
                <c:formatCode>0.00</c:formatCode>
                <c:ptCount val="4"/>
                <c:pt idx="0">
                  <c:v>0.01</c:v>
                </c:pt>
                <c:pt idx="1">
                  <c:v>0.01</c:v>
                </c:pt>
                <c:pt idx="2">
                  <c:v>3.28</c:v>
                </c:pt>
                <c:pt idx="3">
                  <c:v>0.01</c:v>
                </c:pt>
              </c:numCache>
            </c:numRef>
          </c:val>
        </c:ser>
        <c:gapWidth val="60"/>
        <c:axId val="-2068027336"/>
        <c:axId val="-2113994440"/>
      </c:barChart>
      <c:catAx>
        <c:axId val="-2068027336"/>
        <c:scaling>
          <c:orientation val="minMax"/>
        </c:scaling>
        <c:delete val="0"/>
        <c:axPos val="b"/>
        <c:majorTickMark val="out"/>
        <c:minorTickMark val="none"/>
        <c:tickLblPos val="nextTo"/>
        <c:spPr>
          <a:ln>
            <a:solidFill>
              <a:srgbClr val="060606"/>
            </a:solidFill>
          </a:ln>
        </c:spPr>
        <c:txPr>
          <a:bodyPr/>
          <a:lstStyle/>
          <a:p>
            <a:pPr>
              <a:defRPr sz="800"/>
            </a:pPr>
          </a:p>
        </c:txPr>
        <c:crossAx val="-2113994440"/>
        <c:crosses val="autoZero"/>
        <c:auto val="1"/>
        <c:lblAlgn val="ctr"/>
        <c:lblOffset val="100"/>
        <c:noMultiLvlLbl val="0"/>
      </c:catAx>
      <c:valAx>
        <c:axId val="-2113994440"/>
        <c:scaling/>
        <c:delete val="0"/>
        <c:axPos val="l"/>
        <c:majorGridlines>
          <c:spPr>
            <a:ln>
              <a:solidFill>
                <a:srgbClr val="D9D9D9"/>
              </a:solidFill>
            </a:ln>
          </c:spPr>
        </c:majorGridlines>
        <c:title>
          <c:tx>
            <c:rich>
              <a:bodyPr/>
              <a:lstStyle/>
              <a:p>
                <a:r>
                  <a:rPr sz="800" b="0"/>
                  <a:t>Milliards de FCFA</a:t>
                </a:r>
              </a:p>
            </c:rich>
          </c:tx>
          <c:layout/>
          <c:overlay val="0"/>
        </c:title>
        <c:numFmt formatCode="0" sourceLinked="0"/>
        <c:majorTickMark val="out"/>
        <c:minorTickMark val="none"/>
        <c:tickLblPos val="nextTo"/>
        <c:spPr>
          <a:ln>
            <a:noFill/>
          </a:ln>
        </c:spPr>
        <c:txPr>
          <a:bodyPr/>
          <a:lstStyle/>
          <a:p>
            <a:pPr>
              <a:defRPr sz="800"/>
            </a:pPr>
          </a:p>
        </c:txPr>
        <c:crossAx val="-2068027336"/>
        <c:crosses val="autoZero"/>
      </c:valAx>
    </c:plotArea>
    <c:legend>
      <c:legendPos val="b"/>
      <c:overlay val="0"/>
    </c:legend>
    <c:dispBlanksAs val="gap"/>
  </c:chart>
  <c:txPr>
    <a:bodyPr/>
    <a:lstStyle/>
    <a:p>
      <a:pPr>
        <a:defRPr sz="900">
          <a:latin typeface="Helvetica"/>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chart>
    <c:autoTitleDeleted val="1"/>
    <c:plotArea>
      <c:barChart>
        <c:barDir val="col"/>
        <c:grouping val="clustered"/>
        <c:ser>
          <c:idx val="0"/>
          <c:order val="0"/>
          <c:tx>
            <c:strRef>
              <c:f>Sheet1!$B$1</c:f>
              <c:strCache>
                <c:ptCount val="1"/>
                <c:pt idx="0">
                  <c:v>Manque cumulé</c:v>
                </c:pt>
              </c:strCache>
            </c:strRef>
          </c:tx>
          <c:spPr>
            <a:solidFill>
              <a:srgbClr val="112A40"/>
            </a:solidFill>
          </c:spPr>
          <c:dLbls>
            <c:numFmt formatCode="0.00" sourceLinked="0"/>
            <c:txPr>
              <a:bodyPr/>
              <a:lstStyle/>
              <a:p>
                <a:pPr>
                  <a:defRPr sz="750"/>
                </a:pPr>
              </a:p>
            </c:txPr>
            <c:dLblPos val="outEnd"/>
            <c:showLegendKey val="0"/>
            <c:showVal val="1"/>
            <c:showCatName val="0"/>
            <c:showSerName val="0"/>
            <c:showPercent val="0"/>
            <c:showBubbleSize val="0"/>
            <c:showLeaderLines val="1"/>
          </c:dLbls>
          <c:cat>
            <c:strRef>
              <c:f>Sheet1!$A$2:$A$6</c:f>
              <c:strCache>
                <c:ptCount val="5"/>
                <c:pt idx="0">
                  <c:v>Année 1</c:v>
                </c:pt>
                <c:pt idx="1">
                  <c:v>Année 2</c:v>
                </c:pt>
                <c:pt idx="2">
                  <c:v>Année 3</c:v>
                </c:pt>
                <c:pt idx="3">
                  <c:v>Année 4</c:v>
                </c:pt>
                <c:pt idx="4">
                  <c:v>Année 5</c:v>
                </c:pt>
              </c:strCache>
            </c:strRef>
          </c:cat>
          <c:val>
            <c:numRef>
              <c:f>Sheet1!$B$2:$B$6</c:f>
              <c:numCache>
                <c:formatCode>0.00</c:formatCode>
                <c:ptCount val="5"/>
                <c:pt idx="0">
                  <c:v>-6.59</c:v>
                </c:pt>
                <c:pt idx="1">
                  <c:v>-8.71</c:v>
                </c:pt>
                <c:pt idx="2">
                  <c:v>-10.36</c:v>
                </c:pt>
                <c:pt idx="3">
                  <c:v>-11.63</c:v>
                </c:pt>
                <c:pt idx="4">
                  <c:v>-12.6</c:v>
                </c:pt>
              </c:numCache>
            </c:numRef>
          </c:val>
        </c:ser>
        <c:gapWidth val="60"/>
        <c:axId val="-2068027336"/>
        <c:axId val="-2113994440"/>
      </c:barChart>
      <c:catAx>
        <c:axId val="-2068027336"/>
        <c:scaling>
          <c:orientation val="minMax"/>
        </c:scaling>
        <c:delete val="0"/>
        <c:axPos val="b"/>
        <c:majorTickMark val="out"/>
        <c:minorTickMark val="none"/>
        <c:tickLblPos val="low"/>
        <c:spPr>
          <a:ln>
            <a:solidFill>
              <a:srgbClr val="060606"/>
            </a:solidFill>
          </a:ln>
        </c:spPr>
        <c:txPr>
          <a:bodyPr/>
          <a:lstStyle/>
          <a:p>
            <a:pPr>
              <a:defRPr sz="800"/>
            </a:pPr>
          </a:p>
        </c:txPr>
        <c:crossAx val="-2113994440"/>
        <c:crosses val="autoZero"/>
        <c:auto val="1"/>
        <c:lblAlgn val="ctr"/>
        <c:lblOffset val="100"/>
        <c:noMultiLvlLbl val="0"/>
      </c:catAx>
      <c:valAx>
        <c:axId val="-2113994440"/>
        <c:scaling/>
        <c:delete val="0"/>
        <c:axPos val="l"/>
        <c:majorGridlines>
          <c:spPr>
            <a:ln>
              <a:solidFill>
                <a:srgbClr val="D9D9D9"/>
              </a:solidFill>
            </a:ln>
          </c:spPr>
        </c:majorGridlines>
        <c:title>
          <c:tx>
            <c:rich>
              <a:bodyPr/>
              <a:lstStyle/>
              <a:p>
                <a:r>
                  <a:rPr sz="800" b="0"/>
                  <a:t>Milliards de FCFA</a:t>
                </a:r>
              </a:p>
            </c:rich>
          </c:tx>
          <c:layout/>
          <c:overlay val="0"/>
        </c:title>
        <c:numFmt formatCode="0" sourceLinked="0"/>
        <c:majorTickMark val="out"/>
        <c:minorTickMark val="none"/>
        <c:tickLblPos val="nextTo"/>
        <c:spPr>
          <a:ln>
            <a:noFill/>
          </a:ln>
        </c:spPr>
        <c:txPr>
          <a:bodyPr/>
          <a:lstStyle/>
          <a:p>
            <a:pPr>
              <a:defRPr sz="800"/>
            </a:pPr>
          </a:p>
        </c:txPr>
        <c:crossAx val="-2068027336"/>
        <c:crosses val="autoZero"/>
      </c:valAx>
    </c:plotArea>
    <c:dispBlanksAs val="gap"/>
  </c:chart>
  <c:txPr>
    <a:bodyPr/>
    <a:lstStyle/>
    <a:p>
      <a:pPr>
        <a:defRPr sz="900">
          <a:latin typeface="Helvetica"/>
        </a:defRPr>
      </a:pPr>
      <a:endParaRPr lang="en-US"/>
    </a:p>
  </c:txPr>
  <c:externalData r:id="rId1">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Microsoft Office Word</Application>
  <DocSecurity>0</DocSecurity>
  <Company>Adenka Consulting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Adenka Consulting</dc:creator>
  <cp:keywords/>
  <dc:description/>
  <cp:lastModifiedBy>Adenka Consulting</cp:lastModifiedBy>
  <cp:revision>1</cp:revision>
  <dcterms:created xsi:type="dcterms:W3CDTF">2026-10-26T12:50:48Z</dcterms:created>
  <dcterms:modified xsi:type="dcterms:W3CDTF">2026-10-26T12:50:48Z</dcterms:modified>
  <cp:category/>
</cp:coreProperties>
</file>