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FPPN</w:t>
      </w:r>
      <w:r>
        <w:t xml:space="preserve"> </w:t>
      </w:r>
      <w:r>
        <w:t xml:space="preserve">–</w:t>
      </w:r>
      <w:r>
        <w:t xml:space="preserve"> </w:t>
      </w:r>
      <w:r>
        <w:t xml:space="preserve">Dossier</w:t>
      </w:r>
      <w:r>
        <w:t xml:space="preserve"> </w:t>
      </w:r>
      <w:r>
        <w:t xml:space="preserve">de</w:t>
      </w:r>
      <w:r>
        <w:t xml:space="preserve"> </w:t>
      </w:r>
      <w:r>
        <w:t xml:space="preserve">préparation</w:t>
      </w:r>
      <w:r>
        <w:t xml:space="preserve"> </w:t>
      </w:r>
      <w:r>
        <w:t xml:space="preserve">de</w:t>
      </w:r>
      <w:r>
        <w:t xml:space="preserve"> </w:t>
      </w:r>
      <w:r>
        <w:t xml:space="preserve">la</w:t>
      </w:r>
      <w:r>
        <w:t xml:space="preserve"> </w:t>
      </w:r>
      <w:r>
        <w:t xml:space="preserve">réunion</w:t>
      </w:r>
      <w:r>
        <w:t xml:space="preserve"> </w:t>
      </w:r>
      <w:r>
        <w:t xml:space="preserve">de</w:t>
      </w:r>
      <w:r>
        <w:t xml:space="preserve"> </w:t>
      </w:r>
      <w:r>
        <w:t xml:space="preserve">lancement</w:t>
      </w:r>
    </w:p>
    <w:p>
      <w:pPr>
        <w:pStyle w:val="Subtitle"/>
      </w:pPr>
      <w:r>
        <w:t xml:space="preserve">Volet</w:t>
      </w:r>
      <w:r>
        <w:t xml:space="preserve"> </w:t>
      </w:r>
      <w:r>
        <w:t xml:space="preserve">actuariel</w:t>
      </w:r>
      <w:r>
        <w:t xml:space="preserve"> </w:t>
      </w:r>
      <w:r>
        <w:t xml:space="preserve">de</w:t>
      </w:r>
      <w:r>
        <w:t xml:space="preserve"> </w:t>
      </w:r>
      <w:r>
        <w:t xml:space="preserve">l’audit</w:t>
      </w:r>
      <w:r>
        <w:t xml:space="preserve"> </w:t>
      </w:r>
      <w:r>
        <w:t xml:space="preserve">comptable</w:t>
      </w:r>
      <w:r>
        <w:t xml:space="preserve"> </w:t>
      </w:r>
      <w:r>
        <w:t xml:space="preserve">et</w:t>
      </w:r>
      <w:r>
        <w:t xml:space="preserve"> </w:t>
      </w:r>
      <w:r>
        <w:t xml:space="preserve">financier</w:t>
      </w:r>
      <w:r>
        <w:t xml:space="preserve"> </w:t>
      </w:r>
      <w:r>
        <w:t xml:space="preserve">2020</w:t>
      </w:r>
      <w:r>
        <w:t xml:space="preserve"> </w:t>
      </w:r>
      <w:r>
        <w:t xml:space="preserve">–</w:t>
      </w:r>
      <w:r>
        <w:t xml:space="preserve"> </w:t>
      </w:r>
      <w:r>
        <w:t xml:space="preserve">31</w:t>
      </w:r>
      <w:r>
        <w:t xml:space="preserve"> </w:t>
      </w:r>
      <w:r>
        <w:t xml:space="preserve">août</w:t>
      </w:r>
      <w:r>
        <w:t xml:space="preserve"> </w:t>
      </w:r>
      <w:r>
        <w:t xml:space="preserve">2026</w:t>
      </w:r>
    </w:p>
    <w:p>
      <w:pPr>
        <w:pStyle w:val="Date"/>
      </w:pPr>
      <w:r>
        <w:t xml:space="preserve">Version</w:t>
      </w:r>
      <w:r>
        <w:t xml:space="preserve"> </w:t>
      </w:r>
      <w:r>
        <w:t xml:space="preserve">du</w:t>
      </w:r>
      <w:r>
        <w:t xml:space="preserve"> </w:t>
      </w:r>
      <w:r>
        <w:t xml:space="preserve">13</w:t>
      </w:r>
      <w:r>
        <w:t xml:space="preserve"> </w:t>
      </w:r>
      <w:r>
        <w:t xml:space="preserve">octobre</w:t>
      </w:r>
      <w:r>
        <w:t xml:space="preserve"> </w:t>
      </w:r>
      <w:r>
        <w:t xml:space="preserve">2026</w:t>
      </w:r>
    </w:p>
    <w:bookmarkStart w:id="20" w:name="lessentiel-en-une-page"/>
    <w:p>
      <w:pPr>
        <w:pStyle w:val="Heading1"/>
      </w:pPr>
      <w:r>
        <w:t xml:space="preserve">0. L’essentiel en une page</w:t>
      </w:r>
    </w:p>
    <w:p>
      <w:pPr>
        <w:pStyle w:val="FirstParagraph"/>
      </w:pPr>
      <w:r>
        <w:rPr>
          <w:bCs/>
          <w:b/>
        </w:rPr>
        <w:t xml:space="preserve">Ce que tu dois produire.</w:t>
      </w:r>
      <w:r>
        <w:t xml:space="preserve"> </w:t>
      </w:r>
      <w:r>
        <w:t xml:space="preserve">Un rapport actuariel distinct, joint à l’audit Adenka, qui répond à quatre questions :</w:t>
      </w:r>
    </w:p>
    <w:p>
      <w:pPr>
        <w:numPr>
          <w:ilvl w:val="0"/>
          <w:numId w:val="1001"/>
        </w:numPr>
        <w:pStyle w:val="Compact"/>
      </w:pPr>
      <w:r>
        <w:t xml:space="preserve">Combien le FPPN doit-il à ses adhérents et ayants droit ? (évaluation des engagements)</w:t>
      </w:r>
    </w:p>
    <w:p>
      <w:pPr>
        <w:numPr>
          <w:ilvl w:val="0"/>
          <w:numId w:val="1001"/>
        </w:numPr>
        <w:pStyle w:val="Compact"/>
      </w:pPr>
      <w:r>
        <w:t xml:space="preserve">Les provisions inscrites au bilan suffisent-elles à payer ces engagements ? (suffisance des provisions)</w:t>
      </w:r>
    </w:p>
    <w:p>
      <w:pPr>
        <w:numPr>
          <w:ilvl w:val="0"/>
          <w:numId w:val="1001"/>
        </w:numPr>
        <w:pStyle w:val="Compact"/>
      </w:pPr>
      <w:r>
        <w:t xml:space="preserve">Les actifs arrivent-ils en caisse au bon moment pour payer ? (adossement actif-passif)</w:t>
      </w:r>
    </w:p>
    <w:p>
      <w:pPr>
        <w:numPr>
          <w:ilvl w:val="0"/>
          <w:numId w:val="1001"/>
        </w:numPr>
        <w:pStyle w:val="Compact"/>
      </w:pPr>
      <w:r>
        <w:t xml:space="preserve">Les placements sont-ils sûrs, liquides et rentables au regard des engagements ? (adéquation des placements)</w:t>
      </w:r>
    </w:p>
    <w:p>
      <w:pPr>
        <w:pStyle w:val="FirstParagraph"/>
      </w:pPr>
      <w:r>
        <w:rPr>
          <w:bCs/>
          <w:b/>
        </w:rPr>
        <w:t xml:space="preserve">Ce qui est établi par des sources publiques.</w:t>
      </w:r>
    </w:p>
    <w:p>
      <w:pPr>
        <w:numPr>
          <w:ilvl w:val="0"/>
          <w:numId w:val="1002"/>
        </w:numPr>
        <w:pStyle w:val="Compact"/>
      </w:pPr>
      <w:r>
        <w:t xml:space="preserve">Le FPPN est suivi par l’</w:t>
      </w:r>
      <w:r>
        <w:rPr>
          <w:bCs/>
          <w:b/>
        </w:rPr>
        <w:t xml:space="preserve">AIRMS</w:t>
      </w:r>
      <w:r>
        <w:t xml:space="preserve"> </w:t>
      </w:r>
      <w:r>
        <w:t xml:space="preserve">(Agence Ivoirienne de Régulation de la Mutualité Sociale). La Directrice générale de l’AIRMS a assisté à l’AG mixte du FPPN du 15 juin 2023. Le FPPN relève donc, en pratique, du</w:t>
      </w:r>
      <w:r>
        <w:t xml:space="preserve"> </w:t>
      </w:r>
      <w:r>
        <w:rPr>
          <w:bCs/>
          <w:b/>
        </w:rPr>
        <w:t xml:space="preserve">régime de la mutualité sociale UEMOA</w:t>
      </w:r>
      <w:r>
        <w:t xml:space="preserve">, et non du Code CIMA. Le statut exact (agrément, immatriculation) reste à confirmer sur pièces.</w:t>
      </w:r>
    </w:p>
    <w:p>
      <w:pPr>
        <w:numPr>
          <w:ilvl w:val="0"/>
          <w:numId w:val="1002"/>
        </w:numPr>
        <w:pStyle w:val="Compact"/>
      </w:pPr>
      <w:r>
        <w:t xml:space="preserve">Le FPPN sert au moins trois familles de prestations :</w:t>
      </w:r>
      <w:r>
        <w:t xml:space="preserve"> </w:t>
      </w:r>
      <w:r>
        <w:rPr>
          <w:bCs/>
          <w:b/>
        </w:rPr>
        <w:t xml:space="preserve">santé</w:t>
      </w:r>
      <w:r>
        <w:t xml:space="preserve">,</w:t>
      </w:r>
      <w:r>
        <w:t xml:space="preserve"> </w:t>
      </w:r>
      <w:r>
        <w:rPr>
          <w:bCs/>
          <w:b/>
        </w:rPr>
        <w:t xml:space="preserve">épargne</w:t>
      </w:r>
      <w:r>
        <w:t xml:space="preserve"> </w:t>
      </w:r>
      <w:r>
        <w:t xml:space="preserve">(fin de carrière, Plan Épargne Plus),</w:t>
      </w:r>
      <w:r>
        <w:t xml:space="preserve"> </w:t>
      </w:r>
      <w:r>
        <w:rPr>
          <w:bCs/>
          <w:b/>
        </w:rPr>
        <w:t xml:space="preserve">décès-invalidité</w:t>
      </w:r>
      <w:r>
        <w:t xml:space="preserve">.</w:t>
      </w:r>
    </w:p>
    <w:p>
      <w:pPr>
        <w:numPr>
          <w:ilvl w:val="0"/>
          <w:numId w:val="1002"/>
        </w:numPr>
        <w:pStyle w:val="Compact"/>
      </w:pPr>
      <w:r>
        <w:t xml:space="preserve">Trois signaux de risque : retards de paiement d’épargne échue (2014-2015),</w:t>
      </w:r>
      <w:r>
        <w:t xml:space="preserve"> </w:t>
      </w:r>
      <w:r>
        <w:rPr>
          <w:bCs/>
          <w:b/>
        </w:rPr>
        <w:t xml:space="preserve">plus de 3 milliards FCFA</w:t>
      </w:r>
      <w:r>
        <w:t xml:space="preserve"> </w:t>
      </w:r>
      <w:r>
        <w:t xml:space="preserve">de cotisations retenues par le Trésor et non reversées (article non daté),</w:t>
      </w:r>
      <w:r>
        <w:t xml:space="preserve"> </w:t>
      </w:r>
      <w:r>
        <w:rPr>
          <w:bCs/>
          <w:b/>
        </w:rPr>
        <w:t xml:space="preserve">plus de 11 milliards FCFA</w:t>
      </w:r>
      <w:r>
        <w:t xml:space="preserve"> </w:t>
      </w:r>
      <w:r>
        <w:t xml:space="preserve">de dettes apurées annoncées à l’AG du 17 avril 2026 (mutualistes, partenaires médicaux, fournisseurs).</w:t>
      </w:r>
    </w:p>
    <w:p>
      <w:pPr>
        <w:pStyle w:val="FirstParagraph"/>
      </w:pPr>
      <w:r>
        <w:rPr>
          <w:bCs/>
          <w:b/>
        </w:rPr>
        <w:t xml:space="preserve">Ce que tu dois obtenir demain.</w:t>
      </w:r>
      <w:r>
        <w:t xml:space="preserve"> </w:t>
      </w:r>
      <w:r>
        <w:t xml:space="preserve">Les statuts et règlements en vigueur, l’agrément AIRMS, les états financiers 2020-2026, les fichiers individuels des adhérents et des comptes d’épargne, l’historique détaillé des prestations, l’inventaire des placements.</w:t>
      </w:r>
    </w:p>
    <w:bookmarkEnd w:id="20"/>
    <w:bookmarkStart w:id="24" w:name="cadre-réglementaire-applicable"/>
    <w:p>
      <w:pPr>
        <w:pStyle w:val="Heading1"/>
      </w:pPr>
      <w:r>
        <w:t xml:space="preserve">1. Cadre réglementaire applicable</w:t>
      </w:r>
    </w:p>
    <w:bookmarkStart w:id="21" w:name="textes-vérifiés"/>
    <w:p>
      <w:pPr>
        <w:pStyle w:val="Heading2"/>
      </w:pPr>
      <w:r>
        <w:t xml:space="preserve">1.1 Textes vérifiés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Texte</w:t>
            </w:r>
          </w:p>
        </w:tc>
        <w:tc>
          <w:tcPr/>
          <w:p>
            <w:pPr>
              <w:pStyle w:val="Compact"/>
              <w:jc w:val="left"/>
            </w:pPr>
            <w:r>
              <w:t xml:space="preserve">Contenu utile pour toi</w:t>
            </w:r>
          </w:p>
        </w:tc>
      </w:tr>
      <w:tr>
        <w:tc>
          <w:tcPr/>
          <w:p>
            <w:pPr>
              <w:pStyle w:val="Compact"/>
              <w:jc w:val="left"/>
            </w:pPr>
            <w:r>
              <w:rPr>
                <w:bCs/>
                <w:b/>
              </w:rPr>
              <w:t xml:space="preserve">Règlement n°07/2009/CM/UEMOA</w:t>
            </w:r>
            <w:r>
              <w:t xml:space="preserve"> </w:t>
            </w:r>
            <w:r>
              <w:t xml:space="preserve">du 26 juin 2009 portant réglementation de la mutualité sociale au sein de l’UEMOA</w:t>
            </w:r>
          </w:p>
        </w:tc>
        <w:tc>
          <w:tcPr/>
          <w:p>
            <w:pPr>
              <w:pStyle w:val="Compact"/>
              <w:jc w:val="left"/>
            </w:pPr>
            <w:r>
              <w:t xml:space="preserve">Texte de base. Applicable depuis le 1er juillet 2011. Impose les règles prudentielles, la comptabilité et les états financiers. Crée dans chaque État un organe administratif de la mutualité sociale (art. 23) et un fonds national de garantie (art. 63). Renvoie à un règlement d’exécution pour les règles prudentielles.</w:t>
            </w:r>
          </w:p>
        </w:tc>
      </w:tr>
      <w:tr>
        <w:tc>
          <w:tcPr/>
          <w:p>
            <w:pPr>
              <w:pStyle w:val="Compact"/>
              <w:jc w:val="left"/>
            </w:pPr>
            <w:r>
              <w:rPr>
                <w:bCs/>
                <w:b/>
              </w:rPr>
              <w:t xml:space="preserve">Règlement d’exécution n°004/2022/COM/UEMOA</w:t>
            </w:r>
            <w:r>
              <w:t xml:space="preserve"> </w:t>
            </w:r>
            <w:r>
              <w:t xml:space="preserve">du 1er juin 2022</w:t>
            </w:r>
          </w:p>
        </w:tc>
        <w:tc>
          <w:tcPr/>
          <w:p>
            <w:pPr>
              <w:pStyle w:val="Compact"/>
              <w:jc w:val="left"/>
            </w:pPr>
            <w:r>
              <w:t xml:space="preserve">Règles prudentielles, mécanismes de garantie et contrôle des mutuelles sociales. Selon l’AIRMS, il permet aux mutuelles de couvrir les</w:t>
            </w:r>
            <w:r>
              <w:t xml:space="preserve"> </w:t>
            </w:r>
            <w:r>
              <w:rPr>
                <w:bCs/>
                <w:b/>
              </w:rPr>
              <w:t xml:space="preserve">risques longs</w:t>
            </w:r>
            <w:r>
              <w:t xml:space="preserve"> </w:t>
            </w:r>
            <w:r>
              <w:t xml:space="preserve">(survenance au-delà de 12 mois, par exemple la retraite).</w:t>
            </w:r>
          </w:p>
        </w:tc>
      </w:tr>
      <w:tr>
        <w:tc>
          <w:tcPr/>
          <w:p>
            <w:pPr>
              <w:pStyle w:val="Compact"/>
              <w:jc w:val="left"/>
            </w:pPr>
            <w:r>
              <w:rPr>
                <w:bCs/>
                <w:b/>
              </w:rPr>
              <w:t xml:space="preserve">Décision n°05/2022</w:t>
            </w:r>
            <w:r>
              <w:t xml:space="preserve"> </w:t>
            </w:r>
            <w:r>
              <w:t xml:space="preserve">de la Commission de l’UEMOA</w:t>
            </w:r>
          </w:p>
        </w:tc>
        <w:tc>
          <w:tcPr/>
          <w:p>
            <w:pPr>
              <w:pStyle w:val="Compact"/>
              <w:jc w:val="left"/>
            </w:pPr>
            <w:r>
              <w:t xml:space="preserve">Fixe les indicateurs et ratios prudentiels des mutuelles sociales.</w:t>
            </w:r>
            <w:r>
              <w:t xml:space="preserve"> </w:t>
            </w:r>
            <w:r>
              <w:rPr>
                <w:bCs/>
                <w:b/>
              </w:rPr>
              <w:t xml:space="preserve">Texte intégral à lire : il contient les ratios que tu devras tester.</w:t>
            </w:r>
          </w:p>
        </w:tc>
      </w:tr>
      <w:tr>
        <w:tc>
          <w:tcPr/>
          <w:p>
            <w:pPr>
              <w:pStyle w:val="Compact"/>
              <w:jc w:val="left"/>
            </w:pPr>
            <w:r>
              <w:rPr>
                <w:bCs/>
                <w:b/>
              </w:rPr>
              <w:t xml:space="preserve">Plan Comptable des Mutuelles Sociales (PCMS)</w:t>
            </w:r>
          </w:p>
        </w:tc>
        <w:tc>
          <w:tcPr/>
          <w:p>
            <w:pPr>
              <w:pStyle w:val="Compact"/>
              <w:jc w:val="left"/>
            </w:pPr>
            <w:r>
              <w:t xml:space="preserve">Référentiel comptable des mutuelles sociales UEMOA. Applicable aux exercices ouverts à partir du 1er janvier 2014.</w:t>
            </w:r>
          </w:p>
        </w:tc>
      </w:tr>
      <w:tr>
        <w:tc>
          <w:tcPr/>
          <w:p>
            <w:pPr>
              <w:pStyle w:val="Compact"/>
              <w:jc w:val="left"/>
            </w:pPr>
            <w:r>
              <w:rPr>
                <w:bCs/>
                <w:b/>
              </w:rPr>
              <w:t xml:space="preserve">Ordonnance n°2024-1043</w:t>
            </w:r>
            <w:r>
              <w:t xml:space="preserve"> </w:t>
            </w:r>
            <w:r>
              <w:t xml:space="preserve">(Côte d’Ivoire)</w:t>
            </w:r>
          </w:p>
        </w:tc>
        <w:tc>
          <w:tcPr/>
          <w:p>
            <w:pPr>
              <w:pStyle w:val="Compact"/>
              <w:jc w:val="left"/>
            </w:pPr>
            <w:r>
              <w:t xml:space="preserve">Organise le FOMUS-CI, fonds national de garantie des mutuelles sociales agréées par l’AIRMS.</w:t>
            </w:r>
          </w:p>
        </w:tc>
      </w:tr>
      <w:tr>
        <w:tc>
          <w:tcPr/>
          <w:p>
            <w:pPr>
              <w:pStyle w:val="Compact"/>
              <w:jc w:val="left"/>
            </w:pPr>
            <w:r>
              <w:rPr>
                <w:bCs/>
                <w:b/>
              </w:rPr>
              <w:t xml:space="preserve">Arrêté de décembre 2023</w:t>
            </w:r>
            <w:r>
              <w:t xml:space="preserve"> </w:t>
            </w:r>
            <w:r>
              <w:t xml:space="preserve">(Côte d’Ivoire)</w:t>
            </w:r>
          </w:p>
        </w:tc>
        <w:tc>
          <w:tcPr/>
          <w:p>
            <w:pPr>
              <w:pStyle w:val="Compact"/>
              <w:jc w:val="left"/>
            </w:pPr>
            <w:r>
              <w:t xml:space="preserve">Sanctions administratives applicables aux mutuelles sociales.</w:t>
            </w:r>
          </w:p>
        </w:tc>
      </w:tr>
      <w:tr>
        <w:tc>
          <w:tcPr/>
          <w:p>
            <w:pPr>
              <w:pStyle w:val="Compact"/>
              <w:jc w:val="left"/>
            </w:pPr>
            <w:r>
              <w:t xml:space="preserve">Obligation de dépôt (AIRMS)</w:t>
            </w:r>
          </w:p>
        </w:tc>
        <w:tc>
          <w:tcPr/>
          <w:p>
            <w:pPr>
              <w:pStyle w:val="Compact"/>
              <w:jc w:val="left"/>
            </w:pPr>
            <w:r>
              <w:t xml:space="preserve">Rapport moral, financier et technique, et états financiers conformes au PCMS, dans le mois qui suit l’AG annuelle, au plus tard le 31 juillet. AG ordinaire au plus tard six mois après la clôture.</w:t>
            </w:r>
          </w:p>
        </w:tc>
      </w:tr>
    </w:tbl>
    <w:p>
      <w:pPr>
        <w:pStyle w:val="BodyText"/>
      </w:pPr>
      <w:r>
        <w:t xml:space="preserve">Tous ces textes sont téléchargeables sur la page « Documents publics » de l’AIRMS (airms-ci.com).</w:t>
      </w:r>
    </w:p>
    <w:bookmarkEnd w:id="21"/>
    <w:bookmarkStart w:id="22" w:name="code-cima-rôle-de-référence-technique"/>
    <w:p>
      <w:pPr>
        <w:pStyle w:val="Heading2"/>
      </w:pPr>
      <w:r>
        <w:t xml:space="preserve">1.2 Code CIMA : rôle de référence technique</w:t>
      </w:r>
    </w:p>
    <w:p>
      <w:pPr>
        <w:pStyle w:val="FirstParagraph"/>
      </w:pPr>
      <w:r>
        <w:t xml:space="preserve">Le Code CIMA régit les entreprises d’assurance. Il ne s’applique au FPPN que si ses textes le prévoient. Il sert en revanche de</w:t>
      </w:r>
      <w:r>
        <w:t xml:space="preserve"> </w:t>
      </w:r>
      <w:r>
        <w:rPr>
          <w:bCs/>
          <w:b/>
        </w:rPr>
        <w:t xml:space="preserve">référence technique reconnue</w:t>
      </w:r>
      <w:r>
        <w:t xml:space="preserve"> </w:t>
      </w:r>
      <w:r>
        <w:t xml:space="preserve">dans la zone pour les points que les textes UEMOA ne chiffrent pas. Le choix de cette référence doit être écrit et justifié dans le rapport.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Article CIMA</w:t>
            </w:r>
          </w:p>
        </w:tc>
        <w:tc>
          <w:tcPr/>
          <w:p>
            <w:pPr>
              <w:pStyle w:val="Compact"/>
              <w:jc w:val="left"/>
            </w:pPr>
            <w:r>
              <w:t xml:space="preserve">Règle</w:t>
            </w:r>
          </w:p>
        </w:tc>
      </w:tr>
      <w:tr>
        <w:tc>
          <w:tcPr/>
          <w:p>
            <w:pPr>
              <w:pStyle w:val="Compact"/>
              <w:jc w:val="left"/>
            </w:pPr>
            <w:r>
              <w:t xml:space="preserve">Art. 334-2</w:t>
            </w:r>
          </w:p>
        </w:tc>
        <w:tc>
          <w:tcPr/>
          <w:p>
            <w:pPr>
              <w:pStyle w:val="Compact"/>
              <w:jc w:val="left"/>
            </w:pPr>
            <w:r>
              <w:t xml:space="preserve">Provision mathématique = valeur actuelle probable des engagements de l’assureur moins valeur actuelle probable des engagements des assurés.</w:t>
            </w:r>
          </w:p>
        </w:tc>
      </w:tr>
      <w:tr>
        <w:tc>
          <w:tcPr/>
          <w:p>
            <w:pPr>
              <w:pStyle w:val="Compact"/>
              <w:jc w:val="left"/>
            </w:pPr>
            <w:r>
              <w:t xml:space="preserve">Art. 334-4</w:t>
            </w:r>
          </w:p>
        </w:tc>
        <w:tc>
          <w:tcPr/>
          <w:p>
            <w:pPr>
              <w:pStyle w:val="Compact"/>
              <w:jc w:val="left"/>
            </w:pPr>
            <w:r>
              <w:t xml:space="preserve">Les provisions mathématiques vie se calculent avec les tables et taux de l’article 338.</w:t>
            </w:r>
          </w:p>
        </w:tc>
      </w:tr>
      <w:tr>
        <w:tc>
          <w:tcPr/>
          <w:p>
            <w:pPr>
              <w:pStyle w:val="Compact"/>
              <w:jc w:val="left"/>
            </w:pPr>
            <w:r>
              <w:t xml:space="preserve">Art. 334-8</w:t>
            </w:r>
          </w:p>
        </w:tc>
        <w:tc>
          <w:tcPr/>
          <w:p>
            <w:pPr>
              <w:pStyle w:val="Compact"/>
              <w:jc w:val="left"/>
            </w:pPr>
            <w:r>
              <w:t xml:space="preserve">Liste des provisions techniques non-vie (risques en cours, sinistres à payer, etc.).</w:t>
            </w:r>
          </w:p>
        </w:tc>
      </w:tr>
      <w:tr>
        <w:tc>
          <w:tcPr/>
          <w:p>
            <w:pPr>
              <w:pStyle w:val="Compact"/>
              <w:jc w:val="left"/>
            </w:pPr>
            <w:r>
              <w:t xml:space="preserve">Art. 335</w:t>
            </w:r>
          </w:p>
        </w:tc>
        <w:tc>
          <w:tcPr/>
          <w:p>
            <w:pPr>
              <w:pStyle w:val="Compact"/>
              <w:jc w:val="left"/>
            </w:pPr>
            <w:r>
              <w:t xml:space="preserve">Les engagements réglementés sont représentés à tout moment par des actifs équivalents, placés et localisés dans l’État où les risques sont souscrits.</w:t>
            </w:r>
          </w:p>
        </w:tc>
      </w:tr>
      <w:tr>
        <w:tc>
          <w:tcPr/>
          <w:p>
            <w:pPr>
              <w:pStyle w:val="Compact"/>
              <w:jc w:val="left"/>
            </w:pPr>
            <w:r>
              <w:t xml:space="preserve">Art. 335-4</w:t>
            </w:r>
          </w:p>
        </w:tc>
        <w:tc>
          <w:tcPr/>
          <w:p>
            <w:pPr>
              <w:pStyle w:val="Compact"/>
              <w:jc w:val="left"/>
            </w:pPr>
            <w:r>
              <w:t xml:space="preserve">Limites de concentration des placements (par immeuble, par émetteur). Seuils à lire dans le texte officiel.</w:t>
            </w:r>
          </w:p>
        </w:tc>
      </w:tr>
      <w:tr>
        <w:tc>
          <w:tcPr/>
          <w:p>
            <w:pPr>
              <w:pStyle w:val="Compact"/>
              <w:jc w:val="left"/>
            </w:pPr>
            <w:r>
              <w:t xml:space="preserve">Art. 337 et suivants</w:t>
            </w:r>
          </w:p>
        </w:tc>
        <w:tc>
          <w:tcPr/>
          <w:p>
            <w:pPr>
              <w:pStyle w:val="Compact"/>
              <w:jc w:val="left"/>
            </w:pPr>
            <w:r>
              <w:t xml:space="preserve">Marge de solvabilité.</w:t>
            </w:r>
          </w:p>
        </w:tc>
      </w:tr>
      <w:tr>
        <w:tc>
          <w:tcPr/>
          <w:p>
            <w:pPr>
              <w:pStyle w:val="Compact"/>
              <w:jc w:val="left"/>
            </w:pPr>
            <w:r>
              <w:t xml:space="preserve">Art. 338 (modifié en 2012)</w:t>
            </w:r>
          </w:p>
        </w:tc>
        <w:tc>
          <w:tcPr/>
          <w:p>
            <w:pPr>
              <w:pStyle w:val="Compact"/>
              <w:jc w:val="left"/>
            </w:pPr>
            <w:r>
              <w:t xml:space="preserve">Tables</w:t>
            </w:r>
            <w:r>
              <w:t xml:space="preserve"> </w:t>
            </w:r>
            <w:r>
              <w:rPr>
                <w:bCs/>
                <w:b/>
              </w:rPr>
              <w:t xml:space="preserve">CIMA H</w:t>
            </w:r>
            <w:r>
              <w:t xml:space="preserve"> </w:t>
            </w:r>
            <w:r>
              <w:t xml:space="preserve">(garanties en cas de décès) et</w:t>
            </w:r>
            <w:r>
              <w:t xml:space="preserve"> </w:t>
            </w:r>
            <w:r>
              <w:rPr>
                <w:bCs/>
                <w:b/>
              </w:rPr>
              <w:t xml:space="preserve">CIMA F</w:t>
            </w:r>
            <w:r>
              <w:t xml:space="preserve"> </w:t>
            </w:r>
            <w:r>
              <w:t xml:space="preserve">(garanties en cas de vie). Taux d’intérêt technique</w:t>
            </w:r>
            <w:r>
              <w:t xml:space="preserve"> </w:t>
            </w:r>
            <w:r>
              <w:rPr>
                <w:bCs/>
                <w:b/>
              </w:rPr>
              <w:t xml:space="preserve">au plus égal à 3,5 %</w:t>
            </w:r>
            <w:r>
              <w:t xml:space="preserve">.</w:t>
            </w:r>
          </w:p>
        </w:tc>
      </w:tr>
    </w:tbl>
    <w:bookmarkEnd w:id="22"/>
    <w:bookmarkStart w:id="23" w:name="ce-qui-reste-à-confirmer-sur-pièces"/>
    <w:p>
      <w:pPr>
        <w:pStyle w:val="Heading2"/>
      </w:pPr>
      <w:r>
        <w:t xml:space="preserve">1.3 Ce qui reste à confirmer sur pièces</w:t>
      </w:r>
    </w:p>
    <w:p>
      <w:pPr>
        <w:numPr>
          <w:ilvl w:val="0"/>
          <w:numId w:val="1003"/>
        </w:numPr>
        <w:pStyle w:val="Compact"/>
      </w:pPr>
      <w:r>
        <w:t xml:space="preserve">Agrément et numéro d’immatriculation AIRMS du FPPN.</w:t>
      </w:r>
    </w:p>
    <w:p>
      <w:pPr>
        <w:numPr>
          <w:ilvl w:val="0"/>
          <w:numId w:val="1003"/>
        </w:numPr>
        <w:pStyle w:val="Compact"/>
      </w:pPr>
      <w:r>
        <w:t xml:space="preserve">Statuts et règlement intérieur en vigueur (l’AGE a jugé caducs les textes adoptés depuis 2000).</w:t>
      </w:r>
    </w:p>
    <w:p>
      <w:pPr>
        <w:numPr>
          <w:ilvl w:val="0"/>
          <w:numId w:val="1003"/>
        </w:numPr>
        <w:pStyle w:val="Compact"/>
      </w:pPr>
      <w:r>
        <w:t xml:space="preserve">Référentiel comptable réellement appliqué de 2020 à 2026 (PCMS ou autre).</w:t>
      </w:r>
    </w:p>
    <w:p>
      <w:pPr>
        <w:numPr>
          <w:ilvl w:val="0"/>
          <w:numId w:val="1003"/>
        </w:numPr>
        <w:pStyle w:val="Compact"/>
      </w:pPr>
      <w:r>
        <w:t xml:space="preserve">Date de clôture des exercices (le périmètre s’arrête au 31 août 2026, date qui n’est pas une fin d’année civile).</w:t>
      </w:r>
    </w:p>
    <w:p>
      <w:pPr>
        <w:numPr>
          <w:ilvl w:val="0"/>
          <w:numId w:val="1003"/>
        </w:numPr>
        <w:pStyle w:val="Compact"/>
      </w:pPr>
      <w:r>
        <w:t xml:space="preserve">Cadre juridique des activités annexes : clinique, SCI « La Prévoyance », assurance auto.</w:t>
      </w:r>
    </w:p>
    <w:bookmarkEnd w:id="23"/>
    <w:bookmarkEnd w:id="24"/>
    <w:bookmarkStart w:id="30" w:name="X6107c185cb6ac8a375a44f0a2b4f49d6cebfca4"/>
    <w:p>
      <w:pPr>
        <w:pStyle w:val="Heading1"/>
      </w:pPr>
      <w:r>
        <w:t xml:space="preserve">2. Notions clés, méthodes et application au FPPN</w:t>
      </w:r>
    </w:p>
    <w:bookmarkStart w:id="25" w:name="notions-de-base"/>
    <w:p>
      <w:pPr>
        <w:pStyle w:val="Heading2"/>
      </w:pPr>
      <w:r>
        <w:t xml:space="preserve">2.1 Notions de base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Notion</w:t>
            </w:r>
          </w:p>
        </w:tc>
        <w:tc>
          <w:tcPr/>
          <w:p>
            <w:pPr>
              <w:pStyle w:val="Compact"/>
              <w:jc w:val="left"/>
            </w:pPr>
            <w:r>
              <w:t xml:space="preserve">Définition simple</w:t>
            </w:r>
          </w:p>
        </w:tc>
      </w:tr>
      <w:tr>
        <w:tc>
          <w:tcPr/>
          <w:p>
            <w:pPr>
              <w:pStyle w:val="Compact"/>
              <w:jc w:val="left"/>
            </w:pPr>
            <w:r>
              <w:rPr>
                <w:bCs/>
                <w:b/>
              </w:rPr>
              <w:t xml:space="preserve">Engagement</w:t>
            </w:r>
          </w:p>
        </w:tc>
        <w:tc>
          <w:tcPr/>
          <w:p>
            <w:pPr>
              <w:pStyle w:val="Compact"/>
              <w:jc w:val="left"/>
            </w:pPr>
            <w:r>
              <w:t xml:space="preserve">Somme que la mutuelle devra payer aux adhérents, aujourd’hui ou plus tard.</w:t>
            </w:r>
          </w:p>
        </w:tc>
      </w:tr>
      <w:tr>
        <w:tc>
          <w:tcPr/>
          <w:p>
            <w:pPr>
              <w:pStyle w:val="Compact"/>
              <w:jc w:val="left"/>
            </w:pPr>
            <w:r>
              <w:rPr>
                <w:bCs/>
                <w:b/>
              </w:rPr>
              <w:t xml:space="preserve">Provision technique</w:t>
            </w:r>
          </w:p>
        </w:tc>
        <w:tc>
          <w:tcPr/>
          <w:p>
            <w:pPr>
              <w:pStyle w:val="Compact"/>
              <w:jc w:val="left"/>
            </w:pPr>
            <w:r>
              <w:t xml:space="preserve">Montant inscrit au passif pour couvrir un engagement.</w:t>
            </w:r>
          </w:p>
        </w:tc>
      </w:tr>
      <w:tr>
        <w:tc>
          <w:tcPr/>
          <w:p>
            <w:pPr>
              <w:pStyle w:val="Compact"/>
              <w:jc w:val="left"/>
            </w:pPr>
            <w:r>
              <w:rPr>
                <w:bCs/>
                <w:b/>
              </w:rPr>
              <w:t xml:space="preserve">Risque court</w:t>
            </w:r>
          </w:p>
        </w:tc>
        <w:tc>
          <w:tcPr/>
          <w:p>
            <w:pPr>
              <w:pStyle w:val="Compact"/>
              <w:jc w:val="left"/>
            </w:pPr>
            <w:r>
              <w:t xml:space="preserve">Risque dont la survenance est appréciée sur 12 mois au plus (santé, capital décès annuel).</w:t>
            </w:r>
          </w:p>
        </w:tc>
      </w:tr>
      <w:tr>
        <w:tc>
          <w:tcPr/>
          <w:p>
            <w:pPr>
              <w:pStyle w:val="Compact"/>
              <w:jc w:val="left"/>
            </w:pPr>
            <w:r>
              <w:rPr>
                <w:bCs/>
                <w:b/>
              </w:rPr>
              <w:t xml:space="preserve">Risque long</w:t>
            </w:r>
          </w:p>
        </w:tc>
        <w:tc>
          <w:tcPr/>
          <w:p>
            <w:pPr>
              <w:pStyle w:val="Compact"/>
              <w:jc w:val="left"/>
            </w:pPr>
            <w:r>
              <w:t xml:space="preserve">Risque qui s’étale sur plusieurs années (épargne, retraite, rente).</w:t>
            </w:r>
          </w:p>
        </w:tc>
      </w:tr>
      <w:tr>
        <w:tc>
          <w:tcPr/>
          <w:p>
            <w:pPr>
              <w:pStyle w:val="Compact"/>
              <w:jc w:val="left"/>
            </w:pPr>
            <w:r>
              <w:rPr>
                <w:bCs/>
                <w:b/>
              </w:rPr>
              <w:t xml:space="preserve">Actualisation</w:t>
            </w:r>
          </w:p>
        </w:tc>
        <w:tc>
          <w:tcPr/>
          <w:p>
            <w:pPr>
              <w:pStyle w:val="Compact"/>
              <w:jc w:val="left"/>
            </w:pPr>
            <w:r>
              <w:t xml:space="preserve">Ramener une somme future à sa valeur d’aujourd’hui, avec un taux d’intérêt.</w:t>
            </w:r>
          </w:p>
        </w:tc>
      </w:tr>
      <w:tr>
        <w:tc>
          <w:tcPr/>
          <w:p>
            <w:pPr>
              <w:pStyle w:val="Compact"/>
              <w:jc w:val="left"/>
            </w:pPr>
            <w:r>
              <w:rPr>
                <w:bCs/>
                <w:b/>
              </w:rPr>
              <w:t xml:space="preserve">Probabilité de survie ou de décès</w:t>
            </w:r>
          </w:p>
        </w:tc>
        <w:tc>
          <w:tcPr/>
          <w:p>
            <w:pPr>
              <w:pStyle w:val="Compact"/>
              <w:jc w:val="left"/>
            </w:pPr>
            <w:r>
              <w:t xml:space="preserve">Lue dans une table de mortalité (CIMA H, CIMA F, ou table propre au FPPN).</w:t>
            </w:r>
          </w:p>
        </w:tc>
      </w:tr>
      <w:tr>
        <w:tc>
          <w:tcPr/>
          <w:p>
            <w:pPr>
              <w:pStyle w:val="Compact"/>
              <w:jc w:val="left"/>
            </w:pPr>
            <w:r>
              <w:rPr>
                <w:bCs/>
                <w:b/>
              </w:rPr>
              <w:t xml:space="preserve">Sinistralité (S/C)</w:t>
            </w:r>
          </w:p>
        </w:tc>
        <w:tc>
          <w:tcPr/>
          <w:p>
            <w:pPr>
              <w:pStyle w:val="Compact"/>
              <w:jc w:val="left"/>
            </w:pPr>
            <w:r>
              <w:t xml:space="preserve">Prestations payées et provisionnées ÷ cotisations. Au-dessus de 100 %, le produit perd de l’argent avant frais.</w:t>
            </w:r>
          </w:p>
        </w:tc>
      </w:tr>
      <w:tr>
        <w:tc>
          <w:tcPr/>
          <w:p>
            <w:pPr>
              <w:pStyle w:val="Compact"/>
              <w:jc w:val="left"/>
            </w:pPr>
            <w:r>
              <w:rPr>
                <w:bCs/>
                <w:b/>
              </w:rPr>
              <w:t xml:space="preserve">Boni / mali de liquidation</w:t>
            </w:r>
          </w:p>
        </w:tc>
        <w:tc>
          <w:tcPr/>
          <w:p>
            <w:pPr>
              <w:pStyle w:val="Compact"/>
              <w:jc w:val="left"/>
            </w:pPr>
            <w:r>
              <w:t xml:space="preserve">Écart entre la provision constituée et ce qui a finalement été payé. Un mali répété signale des provisions insuffisantes.</w:t>
            </w:r>
          </w:p>
        </w:tc>
      </w:tr>
      <w:tr>
        <w:tc>
          <w:tcPr/>
          <w:p>
            <w:pPr>
              <w:pStyle w:val="Compact"/>
              <w:jc w:val="left"/>
            </w:pPr>
            <w:r>
              <w:rPr>
                <w:bCs/>
                <w:b/>
              </w:rPr>
              <w:t xml:space="preserve">Liquidité</w:t>
            </w:r>
          </w:p>
        </w:tc>
        <w:tc>
          <w:tcPr/>
          <w:p>
            <w:pPr>
              <w:pStyle w:val="Compact"/>
              <w:jc w:val="left"/>
            </w:pPr>
            <w:r>
              <w:t xml:space="preserve">Capacité à payer à la date due.</w:t>
            </w:r>
          </w:p>
        </w:tc>
      </w:tr>
      <w:tr>
        <w:tc>
          <w:tcPr/>
          <w:p>
            <w:pPr>
              <w:pStyle w:val="Compact"/>
              <w:jc w:val="left"/>
            </w:pPr>
            <w:r>
              <w:rPr>
                <w:bCs/>
                <w:b/>
              </w:rPr>
              <w:t xml:space="preserve">Adossement (ALM)</w:t>
            </w:r>
          </w:p>
        </w:tc>
        <w:tc>
          <w:tcPr/>
          <w:p>
            <w:pPr>
              <w:pStyle w:val="Compact"/>
              <w:jc w:val="left"/>
            </w:pPr>
            <w:r>
              <w:t xml:space="preserve">Mise en face des flux d’actifs et des flux de passif, par échéance.</w:t>
            </w:r>
          </w:p>
        </w:tc>
      </w:tr>
    </w:tbl>
    <w:bookmarkEnd w:id="25"/>
    <w:bookmarkStart w:id="26" w:name="santé-risque-court"/>
    <w:p>
      <w:pPr>
        <w:pStyle w:val="Heading2"/>
      </w:pPr>
      <w:r>
        <w:t xml:space="preserve">2.2 Santé (risque court)</w:t>
      </w:r>
    </w:p>
    <w:p>
      <w:pPr>
        <w:pStyle w:val="FirstParagraph"/>
      </w:pPr>
      <w:r>
        <w:rPr>
          <w:bCs/>
          <w:b/>
        </w:rPr>
        <w:t xml:space="preserve">Ce que le FPPN doit.</w:t>
      </w:r>
      <w:r>
        <w:t xml:space="preserve"> </w:t>
      </w:r>
      <w:r>
        <w:t xml:space="preserve">Les soins déjà réalisés et non encore payés (factures des cliniques, hôpitaux, pharmacies conventionnés), y compris ceux non encore facturés.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Provision</w:t>
            </w:r>
          </w:p>
        </w:tc>
        <w:tc>
          <w:tcPr/>
          <w:p>
            <w:pPr>
              <w:pStyle w:val="Compact"/>
              <w:jc w:val="left"/>
            </w:pPr>
            <w:r>
              <w:t xml:space="preserve">Contenu</w:t>
            </w:r>
          </w:p>
        </w:tc>
        <w:tc>
          <w:tcPr/>
          <w:p>
            <w:pPr>
              <w:pStyle w:val="Compact"/>
              <w:jc w:val="left"/>
            </w:pPr>
            <w:r>
              <w:t xml:space="preserve">Méthode</w:t>
            </w:r>
          </w:p>
        </w:tc>
      </w:tr>
      <w:tr>
        <w:tc>
          <w:tcPr/>
          <w:p>
            <w:pPr>
              <w:pStyle w:val="Compact"/>
              <w:jc w:val="left"/>
            </w:pPr>
            <w:r>
              <w:rPr>
                <w:bCs/>
                <w:b/>
              </w:rPr>
              <w:t xml:space="preserve">Provision pour sinistres à payer (PSAP), dossiers connus</w:t>
            </w:r>
          </w:p>
        </w:tc>
        <w:tc>
          <w:tcPr/>
          <w:p>
            <w:pPr>
              <w:pStyle w:val="Compact"/>
              <w:jc w:val="left"/>
            </w:pPr>
            <w:r>
              <w:t xml:space="preserve">Factures reçues, non payées</w:t>
            </w:r>
          </w:p>
        </w:tc>
        <w:tc>
          <w:tcPr/>
          <w:p>
            <w:pPr>
              <w:pStyle w:val="Compact"/>
              <w:jc w:val="left"/>
            </w:pPr>
            <w:r>
              <w:t xml:space="preserve">Inventaire facture par facture. Rapprochement avec la comptabilité et avec les relevés des prestataires.</w:t>
            </w:r>
          </w:p>
        </w:tc>
      </w:tr>
      <w:tr>
        <w:tc>
          <w:tcPr/>
          <w:p>
            <w:pPr>
              <w:pStyle w:val="Compact"/>
              <w:jc w:val="left"/>
            </w:pPr>
            <w:r>
              <w:rPr>
                <w:bCs/>
                <w:b/>
              </w:rPr>
              <w:t xml:space="preserve">Provision pour sinistres survenus non déclarés (IBNR / tardifs)</w:t>
            </w:r>
          </w:p>
        </w:tc>
        <w:tc>
          <w:tcPr/>
          <w:p>
            <w:pPr>
              <w:pStyle w:val="Compact"/>
              <w:jc w:val="left"/>
            </w:pPr>
            <w:r>
              <w:t xml:space="preserve">Soins réalisés, facture pas encore reçue</w:t>
            </w:r>
          </w:p>
        </w:tc>
        <w:tc>
          <w:tcPr/>
          <w:p>
            <w:pPr>
              <w:pStyle w:val="Compact"/>
              <w:jc w:val="left"/>
            </w:pPr>
            <w:r>
              <w:rPr>
                <w:bCs/>
                <w:b/>
              </w:rPr>
              <w:t xml:space="preserve">Chain ladder</w:t>
            </w:r>
            <w:r>
              <w:t xml:space="preserve"> </w:t>
            </w:r>
            <w:r>
              <w:t xml:space="preserve">sur triangle des paiements (année de soins × année de paiement). À défaut de données : méthode du ratio S/C ou cadence de paiement observée.</w:t>
            </w:r>
          </w:p>
        </w:tc>
      </w:tr>
      <w:tr>
        <w:tc>
          <w:tcPr/>
          <w:p>
            <w:pPr>
              <w:pStyle w:val="Compact"/>
              <w:jc w:val="left"/>
            </w:pPr>
            <w:r>
              <w:rPr>
                <w:bCs/>
                <w:b/>
              </w:rPr>
              <w:t xml:space="preserve">Provision pour frais de gestion des sinistres</w:t>
            </w:r>
          </w:p>
        </w:tc>
        <w:tc>
          <w:tcPr/>
          <w:p>
            <w:pPr>
              <w:pStyle w:val="Compact"/>
              <w:jc w:val="left"/>
            </w:pPr>
            <w:r>
              <w:t xml:space="preserve">Coût du traitement des dossiers restant à régler</w:t>
            </w:r>
          </w:p>
        </w:tc>
        <w:tc>
          <w:tcPr/>
          <w:p>
            <w:pPr>
              <w:pStyle w:val="Compact"/>
              <w:jc w:val="left"/>
            </w:pPr>
            <w:r>
              <w:t xml:space="preserve">Pourcentage des frais de gestion observés.</w:t>
            </w:r>
          </w:p>
        </w:tc>
      </w:tr>
      <w:tr>
        <w:tc>
          <w:tcPr/>
          <w:p>
            <w:pPr>
              <w:pStyle w:val="Compact"/>
              <w:jc w:val="left"/>
            </w:pPr>
            <w:r>
              <w:rPr>
                <w:bCs/>
                <w:b/>
              </w:rPr>
              <w:t xml:space="preserve">Provision pour risques en cours / cotisations non acquises</w:t>
            </w:r>
          </w:p>
        </w:tc>
        <w:tc>
          <w:tcPr/>
          <w:p>
            <w:pPr>
              <w:pStyle w:val="Compact"/>
              <w:jc w:val="left"/>
            </w:pPr>
            <w:r>
              <w:t xml:space="preserve">Part des cotisations encaissées couvrant une période postérieure à la clôture</w:t>
            </w:r>
          </w:p>
        </w:tc>
        <w:tc>
          <w:tcPr/>
          <w:p>
            <w:pPr>
              <w:pStyle w:val="Compact"/>
              <w:jc w:val="left"/>
            </w:pPr>
            <w:r>
              <w:t xml:space="preserve">Prorata temporis. Utile surtout pour la clôture du 31 août 2026.</w:t>
            </w:r>
          </w:p>
        </w:tc>
      </w:tr>
    </w:tbl>
    <w:p>
      <w:pPr>
        <w:pStyle w:val="BodyText"/>
      </w:pPr>
      <w:r>
        <w:rPr>
          <w:bCs/>
          <w:b/>
        </w:rPr>
        <w:t xml:space="preserve">Tests à mener.</w:t>
      </w:r>
      <w:r>
        <w:t xml:space="preserve"> </w:t>
      </w:r>
      <w:r>
        <w:t xml:space="preserve">S/C par année et par population (actifs, retraités, ayants droit). Coût moyen par bénéficiaire. Délai moyen de paiement des prestataires. Boni/mali de liquidation année après année. Effet de l’extension de la couverture aux retraités (population plus âgée, consommation plus forte).</w:t>
      </w:r>
    </w:p>
    <w:p>
      <w:pPr>
        <w:pStyle w:val="BodyText"/>
      </w:pPr>
      <w:r>
        <w:rPr>
          <w:bCs/>
          <w:b/>
        </w:rPr>
        <w:t xml:space="preserve">Tarification.</w:t>
      </w:r>
      <w:r>
        <w:t xml:space="preserve"> </w:t>
      </w:r>
      <w:r>
        <w:t xml:space="preserve">Cotisation nécessaire = coût moyen attendu par bénéficiaire + frais de gestion + chargement de sécurité. Comparer à la cotisation réellement retenue sur la solde.</w:t>
      </w:r>
    </w:p>
    <w:bookmarkEnd w:id="26"/>
    <w:bookmarkStart w:id="27" w:name="épargne-risque-long"/>
    <w:p>
      <w:pPr>
        <w:pStyle w:val="Heading2"/>
      </w:pPr>
      <w:r>
        <w:t xml:space="preserve">2.3 Épargne (risque long)</w:t>
      </w:r>
    </w:p>
    <w:p>
      <w:pPr>
        <w:pStyle w:val="FirstParagraph"/>
      </w:pPr>
      <w:r>
        <w:rPr>
          <w:bCs/>
          <w:b/>
        </w:rPr>
        <w:t xml:space="preserve">Ce que le FPPN doit.</w:t>
      </w:r>
      <w:r>
        <w:t xml:space="preserve"> </w:t>
      </w:r>
      <w:r>
        <w:t xml:space="preserve">Le solde de chaque compte d’épargne : versements + intérêts crédités − retraits. Pour un contrat à terme échu et non payé : la totalité du montant dû, immédiatement exigible.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Méthode</w:t>
            </w:r>
          </w:p>
        </w:tc>
      </w:tr>
      <w:tr>
        <w:tc>
          <w:tcPr/>
          <w:p>
            <w:pPr>
              <w:pStyle w:val="Compact"/>
              <w:jc w:val="left"/>
            </w:pPr>
            <w:r>
              <w:rPr>
                <w:bCs/>
                <w:b/>
              </w:rPr>
              <w:t xml:space="preserve">Provision d’épargne (provision mathématique)</w:t>
            </w:r>
          </w:p>
        </w:tc>
        <w:tc>
          <w:tcPr/>
          <w:p>
            <w:pPr>
              <w:pStyle w:val="Compact"/>
              <w:jc w:val="left"/>
            </w:pPr>
            <w:r>
              <w:t xml:space="preserve">Somme des soldes individuels, adhérent par adhérent, à chaque clôture. Si un taux est garanti : capitalisation au taux garanti. Si un capital fixe est promis à terme : valeur actuelle du capital moins valeur actuelle des versements futurs (art. 334-2 CIMA comme référence).</w:t>
            </w:r>
          </w:p>
        </w:tc>
      </w:tr>
      <w:tr>
        <w:tc>
          <w:tcPr/>
          <w:p>
            <w:pPr>
              <w:pStyle w:val="Compact"/>
              <w:jc w:val="left"/>
            </w:pPr>
            <w:r>
              <w:rPr>
                <w:bCs/>
                <w:b/>
              </w:rPr>
              <w:t xml:space="preserve">Prestations échues non payées</w:t>
            </w:r>
          </w:p>
        </w:tc>
        <w:tc>
          <w:tcPr/>
          <w:p>
            <w:pPr>
              <w:pStyle w:val="Compact"/>
              <w:jc w:val="left"/>
            </w:pPr>
            <w:r>
              <w:t xml:space="preserve">Dette exigible, à isoler. Cas déjà connus : Plan Épargne Plus 2014-2015, retraités non remboursés.</w:t>
            </w:r>
          </w:p>
        </w:tc>
      </w:tr>
      <w:tr>
        <w:tc>
          <w:tcPr/>
          <w:p>
            <w:pPr>
              <w:pStyle w:val="Compact"/>
              <w:jc w:val="left"/>
            </w:pPr>
            <w:r>
              <w:rPr>
                <w:bCs/>
                <w:b/>
              </w:rPr>
              <w:t xml:space="preserve">Projection des sorties</w:t>
            </w:r>
          </w:p>
        </w:tc>
        <w:tc>
          <w:tcPr/>
          <w:p>
            <w:pPr>
              <w:pStyle w:val="Compact"/>
              <w:jc w:val="left"/>
            </w:pPr>
            <w:r>
              <w:t xml:space="preserve">Pyramide des âges + âge de départ à la retraite applicable aux policiers (à obtenir) → calendrier des départs → calendrier des paiements de fin de carrière.</w:t>
            </w:r>
          </w:p>
        </w:tc>
      </w:tr>
      <w:tr>
        <w:tc>
          <w:tcPr/>
          <w:p>
            <w:pPr>
              <w:pStyle w:val="Compact"/>
              <w:jc w:val="left"/>
            </w:pPr>
            <w:r>
              <w:rPr>
                <w:bCs/>
                <w:b/>
              </w:rPr>
              <w:t xml:space="preserve">Taux crédité vs rendement</w:t>
            </w:r>
          </w:p>
        </w:tc>
        <w:tc>
          <w:tcPr/>
          <w:p>
            <w:pPr>
              <w:pStyle w:val="Compact"/>
              <w:jc w:val="left"/>
            </w:pPr>
            <w:r>
              <w:t xml:space="preserve">Comparer le taux servi aux épargnants au rendement réel des placements. Un taux servi supérieur au rendement crée un déficit.</w:t>
            </w:r>
          </w:p>
        </w:tc>
      </w:tr>
    </w:tbl>
    <w:p>
      <w:pPr>
        <w:pStyle w:val="BodyText"/>
      </w:pPr>
      <w:r>
        <w:rPr>
          <w:bCs/>
          <w:b/>
        </w:rPr>
        <w:t xml:space="preserve">Tests à mener.</w:t>
      </w:r>
      <w:r>
        <w:t xml:space="preserve"> </w:t>
      </w:r>
      <w:r>
        <w:t xml:space="preserve">Rapprochement : total des fichiers individuels = provision au bilan. Contrôle des intérêts crédités. Reconstitution des paiements de décembre 2025 (264 retraités, 410 769 709 FCFA) à partir des comptes individuels. Montant moyen par retraité et cohérence avec la durée de cotisation.</w:t>
      </w:r>
    </w:p>
    <w:bookmarkEnd w:id="27"/>
    <w:bookmarkStart w:id="28" w:name="décès-et-invalidité"/>
    <w:p>
      <w:pPr>
        <w:pStyle w:val="Heading2"/>
      </w:pPr>
      <w:r>
        <w:t xml:space="preserve">2.4 Décès et invalidité</w:t>
      </w:r>
    </w:p>
    <w:p>
      <w:pPr>
        <w:pStyle w:val="FirstParagraph"/>
      </w:pPr>
      <w:r>
        <w:rPr>
          <w:bCs/>
          <w:b/>
        </w:rPr>
        <w:t xml:space="preserve">Ce que le FPPN doit.</w:t>
      </w:r>
      <w:r>
        <w:t xml:space="preserve"> </w:t>
      </w:r>
      <w:r>
        <w:t xml:space="preserve">Les allocations pour les décès et invalidités déjà survenus et non payés. Si une rente est versée (invalidité, orphelins) : toutes les échéances futures de cette rente.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Provision</w:t>
            </w:r>
          </w:p>
        </w:tc>
        <w:tc>
          <w:tcPr/>
          <w:p>
            <w:pPr>
              <w:pStyle w:val="Compact"/>
              <w:jc w:val="left"/>
            </w:pPr>
            <w:r>
              <w:t xml:space="preserve">Méthode</w:t>
            </w:r>
          </w:p>
        </w:tc>
      </w:tr>
      <w:tr>
        <w:tc>
          <w:tcPr/>
          <w:p>
            <w:pPr>
              <w:pStyle w:val="Compact"/>
              <w:jc w:val="left"/>
            </w:pPr>
            <w:r>
              <w:rPr>
                <w:bCs/>
                <w:b/>
              </w:rPr>
              <w:t xml:space="preserve">PSAP dossiers connus</w:t>
            </w:r>
          </w:p>
        </w:tc>
        <w:tc>
          <w:tcPr/>
          <w:p>
            <w:pPr>
              <w:pStyle w:val="Compact"/>
              <w:jc w:val="left"/>
            </w:pPr>
            <w:r>
              <w:t xml:space="preserve">Inventaire des dossiers ouverts, au montant de l’allocation statutaire.</w:t>
            </w:r>
          </w:p>
        </w:tc>
      </w:tr>
      <w:tr>
        <w:tc>
          <w:tcPr/>
          <w:p>
            <w:pPr>
              <w:pStyle w:val="Compact"/>
              <w:jc w:val="left"/>
            </w:pPr>
            <w:r>
              <w:rPr>
                <w:bCs/>
                <w:b/>
              </w:rPr>
              <w:t xml:space="preserve">Tardifs (IBNR)</w:t>
            </w:r>
          </w:p>
        </w:tc>
        <w:tc>
          <w:tcPr/>
          <w:p>
            <w:pPr>
              <w:pStyle w:val="Compact"/>
              <w:jc w:val="left"/>
            </w:pPr>
            <w:r>
              <w:t xml:space="preserve">Délai observé entre la date du décès et la date de déclaration. Taux de décès attendu × effectif × capital, sur la période de déclaration tardive.</w:t>
            </w:r>
          </w:p>
        </w:tc>
      </w:tr>
      <w:tr>
        <w:tc>
          <w:tcPr/>
          <w:p>
            <w:pPr>
              <w:pStyle w:val="Compact"/>
              <w:jc w:val="left"/>
            </w:pPr>
            <w:r>
              <w:rPr>
                <w:bCs/>
                <w:b/>
              </w:rPr>
              <w:t xml:space="preserve">Provision pour rentes en cours</w:t>
            </w:r>
            <w:r>
              <w:t xml:space="preserve"> </w:t>
            </w:r>
            <w:r>
              <w:t xml:space="preserve">(si rentes)</w:t>
            </w:r>
          </w:p>
        </w:tc>
        <w:tc>
          <w:tcPr/>
          <w:p>
            <w:pPr>
              <w:pStyle w:val="Compact"/>
              <w:jc w:val="left"/>
            </w:pPr>
            <w:r>
              <w:t xml:space="preserve">Valeur actuelle des rentes futures, avec une table de survie et un taux d’actualisation.</w:t>
            </w:r>
          </w:p>
        </w:tc>
      </w:tr>
      <w:tr>
        <w:tc>
          <w:tcPr/>
          <w:p>
            <w:pPr>
              <w:pStyle w:val="Compact"/>
              <w:jc w:val="left"/>
            </w:pPr>
            <w:r>
              <w:rPr>
                <w:bCs/>
                <w:b/>
              </w:rPr>
              <w:t xml:space="preserve">Engagement viager éventuel</w:t>
            </w:r>
          </w:p>
        </w:tc>
        <w:tc>
          <w:tcPr/>
          <w:p>
            <w:pPr>
              <w:pStyle w:val="Compact"/>
              <w:jc w:val="left"/>
            </w:pPr>
            <w:r>
              <w:t xml:space="preserve">Si l’allocation est garantie à vie aux retraités sans cotisation correspondante : engagement long à calculer avec une table (CIMA H en référence).</w:t>
            </w:r>
          </w:p>
        </w:tc>
      </w:tr>
    </w:tbl>
    <w:p>
      <w:pPr>
        <w:pStyle w:val="BodyText"/>
      </w:pPr>
      <w:r>
        <w:rPr>
          <w:bCs/>
          <w:b/>
        </w:rPr>
        <w:t xml:space="preserve">Tarification.</w:t>
      </w:r>
      <w:r>
        <w:t xml:space="preserve"> </w:t>
      </w:r>
      <w:r>
        <w:t xml:space="preserve">Cotisation pure = probabilité de décès (ou d’invalidité) × capital. Comparer la mortalité observée au FPPN à la table CIMA H, par tranche d’âge.</w:t>
      </w:r>
    </w:p>
    <w:bookmarkEnd w:id="28"/>
    <w:bookmarkStart w:id="29" w:name="activités-annexes"/>
    <w:p>
      <w:pPr>
        <w:pStyle w:val="Heading2"/>
      </w:pPr>
      <w:r>
        <w:t xml:space="preserve">2.5 Activités annexes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Activité</w:t>
            </w:r>
          </w:p>
        </w:tc>
        <w:tc>
          <w:tcPr/>
          <w:p>
            <w:pPr>
              <w:pStyle w:val="Compact"/>
              <w:jc w:val="left"/>
            </w:pPr>
            <w:r>
              <w:t xml:space="preserve">Point actuariel</w:t>
            </w:r>
          </w:p>
        </w:tc>
      </w:tr>
      <w:tr>
        <w:tc>
          <w:tcPr/>
          <w:p>
            <w:pPr>
              <w:pStyle w:val="Compact"/>
              <w:jc w:val="left"/>
            </w:pPr>
            <w:r>
              <w:rPr>
                <w:bCs/>
                <w:b/>
              </w:rPr>
              <w:t xml:space="preserve">Clinique Moderne La Prévoyance</w:t>
            </w:r>
          </w:p>
        </w:tc>
        <w:tc>
          <w:tcPr/>
          <w:p>
            <w:pPr>
              <w:pStyle w:val="Compact"/>
              <w:jc w:val="left"/>
            </w:pPr>
            <w:r>
              <w:t xml:space="preserve">Actif immobilier et d’exploitation, peu liquide. Flux croisés avec la garantie santé (le FPPN paie sa propre clinique). Vérifier la valorisation et l’absence de transfert caché de pertes.</w:t>
            </w:r>
          </w:p>
        </w:tc>
      </w:tr>
      <w:tr>
        <w:tc>
          <w:tcPr/>
          <w:p>
            <w:pPr>
              <w:pStyle w:val="Compact"/>
              <w:jc w:val="left"/>
            </w:pPr>
            <w:r>
              <w:rPr>
                <w:bCs/>
                <w:b/>
              </w:rPr>
              <w:t xml:space="preserve">SCI « La Prévoyance »</w:t>
            </w:r>
            <w:r>
              <w:t xml:space="preserve"> </w:t>
            </w:r>
            <w:r>
              <w:t xml:space="preserve">(logement)</w:t>
            </w:r>
          </w:p>
        </w:tc>
        <w:tc>
          <w:tcPr/>
          <w:p>
            <w:pPr>
              <w:pStyle w:val="Compact"/>
              <w:jc w:val="left"/>
            </w:pPr>
            <w:r>
              <w:t xml:space="preserve">Actif immobilier illiquide. Ne peut pas servir à payer l’épargne à court terme.</w:t>
            </w:r>
          </w:p>
        </w:tc>
      </w:tr>
      <w:tr>
        <w:tc>
          <w:tcPr/>
          <w:p>
            <w:pPr>
              <w:pStyle w:val="Compact"/>
              <w:jc w:val="left"/>
            </w:pPr>
            <w:r>
              <w:rPr>
                <w:bCs/>
                <w:b/>
              </w:rPr>
              <w:t xml:space="preserve">Assurance auto dématérialisée</w:t>
            </w:r>
          </w:p>
        </w:tc>
        <w:tc>
          <w:tcPr/>
          <w:p>
            <w:pPr>
              <w:pStyle w:val="Compact"/>
              <w:jc w:val="left"/>
            </w:pPr>
            <w:r>
              <w:t xml:space="preserve">Activité d’assurance de dommages. Vérifier qui porte le risque (le FPPN ou un assureur agréé CIMA). Si c’est le FPPN, provisions non-vie à calculer.</w:t>
            </w:r>
          </w:p>
        </w:tc>
      </w:tr>
    </w:tbl>
    <w:bookmarkEnd w:id="29"/>
    <w:bookmarkEnd w:id="30"/>
    <w:bookmarkStart w:id="33" w:name="X4940971fcd8cf5f90295e3a1016219c460772e6"/>
    <w:p>
      <w:pPr>
        <w:pStyle w:val="Heading1"/>
      </w:pPr>
      <w:r>
        <w:t xml:space="preserve">3. Adossement actif-passif et adéquation des placements</w:t>
      </w:r>
    </w:p>
    <w:bookmarkStart w:id="31" w:name="méthode-en-cinq-étapes"/>
    <w:p>
      <w:pPr>
        <w:pStyle w:val="Heading2"/>
      </w:pPr>
      <w:r>
        <w:t xml:space="preserve">3.1 Méthode en cinq étapes</w:t>
      </w:r>
    </w:p>
    <w:p>
      <w:pPr>
        <w:numPr>
          <w:ilvl w:val="0"/>
          <w:numId w:val="1004"/>
        </w:numPr>
        <w:pStyle w:val="Compact"/>
      </w:pPr>
      <w:r>
        <w:rPr>
          <w:bCs/>
          <w:b/>
        </w:rPr>
        <w:t xml:space="preserve">Classer le passif par échéance</w:t>
      </w:r>
      <w:r>
        <w:t xml:space="preserve"> </w:t>
      </w:r>
      <w:r>
        <w:t xml:space="preserve">: moins de 1 an, 1 à 5 ans, plus de 5 ans. Exemples : santé et dettes échues (moins de 1 an), épargne des agents proches de la retraite (1 à 5 ans), épargne des jeunes agents (plus de 5 ans).</w:t>
      </w:r>
    </w:p>
    <w:p>
      <w:pPr>
        <w:numPr>
          <w:ilvl w:val="0"/>
          <w:numId w:val="1004"/>
        </w:numPr>
        <w:pStyle w:val="Compact"/>
      </w:pPr>
      <w:r>
        <w:rPr>
          <w:bCs/>
          <w:b/>
        </w:rPr>
        <w:t xml:space="preserve">Classer l’actif par délai de mobilisation</w:t>
      </w:r>
      <w:r>
        <w:t xml:space="preserve"> </w:t>
      </w:r>
      <w:r>
        <w:t xml:space="preserve">: trésorerie, dépôts à terme, obligations, créances, immobilier, participations.</w:t>
      </w:r>
    </w:p>
    <w:p>
      <w:pPr>
        <w:numPr>
          <w:ilvl w:val="0"/>
          <w:numId w:val="1004"/>
        </w:numPr>
        <w:pStyle w:val="Compact"/>
      </w:pPr>
      <w:r>
        <w:rPr>
          <w:bCs/>
          <w:b/>
        </w:rPr>
        <w:t xml:space="preserve">Comparer tranche par tranche</w:t>
      </w:r>
      <w:r>
        <w:t xml:space="preserve"> </w:t>
      </w:r>
      <w:r>
        <w:t xml:space="preserve">: un passif court financé par un actif long ou incertain = risque de liquidité.</w:t>
      </w:r>
    </w:p>
    <w:p>
      <w:pPr>
        <w:numPr>
          <w:ilvl w:val="0"/>
          <w:numId w:val="1004"/>
        </w:numPr>
        <w:pStyle w:val="Compact"/>
      </w:pPr>
      <w:r>
        <w:rPr>
          <w:bCs/>
          <w:b/>
        </w:rPr>
        <w:t xml:space="preserve">Calculer les indicateurs</w:t>
      </w:r>
      <w:r>
        <w:t xml:space="preserve"> </w:t>
      </w:r>
      <w:r>
        <w:t xml:space="preserve">: actifs liquides ÷ engagements à moins d’un an ; total actifs admissibles ÷ total engagements ; rendement des placements vs taux servi.</w:t>
      </w:r>
    </w:p>
    <w:p>
      <w:pPr>
        <w:numPr>
          <w:ilvl w:val="0"/>
          <w:numId w:val="1004"/>
        </w:numPr>
        <w:pStyle w:val="Compact"/>
      </w:pPr>
      <w:r>
        <w:rPr>
          <w:bCs/>
          <w:b/>
        </w:rPr>
        <w:t xml:space="preserve">Appliquer les ratios prudentiels</w:t>
      </w:r>
      <w:r>
        <w:t xml:space="preserve"> </w:t>
      </w:r>
      <w:r>
        <w:t xml:space="preserve">de la Décision n°05/2022 UEMOA et, en référence, les règles CIMA (art. 335 et 335-4).</w:t>
      </w:r>
    </w:p>
    <w:bookmarkEnd w:id="31"/>
    <w:bookmarkStart w:id="32" w:name="X49174aa3247c6044c772b4740606e7de5001fac"/>
    <w:p>
      <w:pPr>
        <w:pStyle w:val="Heading2"/>
      </w:pPr>
      <w:r>
        <w:t xml:space="preserve">3.2 Ce qu’il faut regarder dans les placements</w:t>
      </w:r>
    </w:p>
    <w:p>
      <w:pPr>
        <w:numPr>
          <w:ilvl w:val="0"/>
          <w:numId w:val="1005"/>
        </w:numPr>
        <w:pStyle w:val="Compact"/>
      </w:pPr>
      <w:r>
        <w:rPr>
          <w:bCs/>
          <w:b/>
        </w:rPr>
        <w:t xml:space="preserve">Sécurité</w:t>
      </w:r>
      <w:r>
        <w:t xml:space="preserve"> </w:t>
      </w:r>
      <w:r>
        <w:t xml:space="preserve">: qualité de chaque émetteur ou banque, concentration sur un seul établissement.</w:t>
      </w:r>
    </w:p>
    <w:p>
      <w:pPr>
        <w:numPr>
          <w:ilvl w:val="0"/>
          <w:numId w:val="1005"/>
        </w:numPr>
        <w:pStyle w:val="Compact"/>
      </w:pPr>
      <w:r>
        <w:rPr>
          <w:bCs/>
          <w:b/>
        </w:rPr>
        <w:t xml:space="preserve">Liquidité</w:t>
      </w:r>
      <w:r>
        <w:t xml:space="preserve"> </w:t>
      </w:r>
      <w:r>
        <w:t xml:space="preserve">: délai de mobilisation réel, pénalités de sortie anticipée.</w:t>
      </w:r>
    </w:p>
    <w:p>
      <w:pPr>
        <w:numPr>
          <w:ilvl w:val="0"/>
          <w:numId w:val="1005"/>
        </w:numPr>
        <w:pStyle w:val="Compact"/>
      </w:pPr>
      <w:r>
        <w:rPr>
          <w:bCs/>
          <w:b/>
        </w:rPr>
        <w:t xml:space="preserve">Rentabilité</w:t>
      </w:r>
      <w:r>
        <w:t xml:space="preserve"> </w:t>
      </w:r>
      <w:r>
        <w:t xml:space="preserve">: rendement réel encaissé, et non rendement affiché.</w:t>
      </w:r>
    </w:p>
    <w:p>
      <w:pPr>
        <w:numPr>
          <w:ilvl w:val="0"/>
          <w:numId w:val="1005"/>
        </w:numPr>
        <w:pStyle w:val="Compact"/>
      </w:pPr>
      <w:r>
        <w:rPr>
          <w:bCs/>
          <w:b/>
        </w:rPr>
        <w:t xml:space="preserve">Localisation et nature</w:t>
      </w:r>
      <w:r>
        <w:t xml:space="preserve"> </w:t>
      </w:r>
      <w:r>
        <w:t xml:space="preserve">: actifs détenus en Côte d’Ivoire, conformes aux textes.</w:t>
      </w:r>
    </w:p>
    <w:p>
      <w:pPr>
        <w:numPr>
          <w:ilvl w:val="0"/>
          <w:numId w:val="1005"/>
        </w:numPr>
        <w:pStyle w:val="Compact"/>
      </w:pPr>
      <w:r>
        <w:rPr>
          <w:bCs/>
          <w:b/>
        </w:rPr>
        <w:t xml:space="preserve">Créances sur l’État</w:t>
      </w:r>
      <w:r>
        <w:t xml:space="preserve"> </w:t>
      </w:r>
      <w:r>
        <w:t xml:space="preserve">(cotisations retenues non reversées) : à exclure ou à déprécier dans la couverture des engagements tant qu’elles ne sont pas encaissées. Un actif non encaissable ne paie pas les adhérents.</w:t>
      </w:r>
    </w:p>
    <w:p>
      <w:pPr>
        <w:numPr>
          <w:ilvl w:val="0"/>
          <w:numId w:val="1005"/>
        </w:numPr>
        <w:pStyle w:val="Compact"/>
      </w:pPr>
      <w:r>
        <w:rPr>
          <w:bCs/>
          <w:b/>
        </w:rPr>
        <w:t xml:space="preserve">Immobilier</w:t>
      </w:r>
      <w:r>
        <w:t xml:space="preserve"> </w:t>
      </w:r>
      <w:r>
        <w:t xml:space="preserve">(clinique, SCI) : valeur d’expertise récente, et pas seulement coût historique.</w:t>
      </w:r>
    </w:p>
    <w:bookmarkEnd w:id="32"/>
    <w:bookmarkEnd w:id="33"/>
    <w:bookmarkStart w:id="34" w:name="X2564f04021f8a2a4ad16764315d222c424db269"/>
    <w:p>
      <w:pPr>
        <w:pStyle w:val="Heading1"/>
      </w:pPr>
      <w:r>
        <w:t xml:space="preserve">4. Déroulé de l’analyse sur 2020 – 31 août 2026</w:t>
      </w:r>
    </w:p>
    <w:p>
      <w:pPr>
        <w:numPr>
          <w:ilvl w:val="0"/>
          <w:numId w:val="1006"/>
        </w:numPr>
        <w:pStyle w:val="Compact"/>
      </w:pPr>
      <w:r>
        <w:rPr>
          <w:bCs/>
          <w:b/>
        </w:rPr>
        <w:t xml:space="preserve">Comprendre les garanties</w:t>
      </w:r>
      <w:r>
        <w:t xml:space="preserve"> </w:t>
      </w:r>
      <w:r>
        <w:t xml:space="preserve">: statuts et règlements de chaque année (les règles ont pu changer).</w:t>
      </w:r>
    </w:p>
    <w:p>
      <w:pPr>
        <w:numPr>
          <w:ilvl w:val="0"/>
          <w:numId w:val="1006"/>
        </w:numPr>
        <w:pStyle w:val="Compact"/>
      </w:pPr>
      <w:r>
        <w:rPr>
          <w:bCs/>
          <w:b/>
        </w:rPr>
        <w:t xml:space="preserve">Contrôler les données</w:t>
      </w:r>
      <w:r>
        <w:t xml:space="preserve"> </w:t>
      </w:r>
      <w:r>
        <w:t xml:space="preserve">: exhaustivité (effectifs = nombre de retenues sur solde), cohérence (dates, âges, montants), rapprochement avec la comptabilité.</w:t>
      </w:r>
    </w:p>
    <w:p>
      <w:pPr>
        <w:numPr>
          <w:ilvl w:val="0"/>
          <w:numId w:val="1006"/>
        </w:numPr>
        <w:pStyle w:val="Compact"/>
      </w:pPr>
      <w:r>
        <w:rPr>
          <w:bCs/>
          <w:b/>
        </w:rPr>
        <w:t xml:space="preserve">Recalculer les provisions à chaque clôture</w:t>
      </w:r>
      <w:r>
        <w:t xml:space="preserve"> </w:t>
      </w:r>
      <w:r>
        <w:t xml:space="preserve">: 2020, 2021, 2022, 2023, 2024, 2025, 31 août 2026.</w:t>
      </w:r>
    </w:p>
    <w:p>
      <w:pPr>
        <w:numPr>
          <w:ilvl w:val="0"/>
          <w:numId w:val="1006"/>
        </w:numPr>
        <w:pStyle w:val="Compact"/>
      </w:pPr>
      <w:r>
        <w:rPr>
          <w:bCs/>
          <w:b/>
        </w:rPr>
        <w:t xml:space="preserve">Comparer aux provisions comptabilisées</w:t>
      </w:r>
      <w:r>
        <w:t xml:space="preserve"> </w:t>
      </w:r>
      <w:r>
        <w:t xml:space="preserve">: écart par prestation et par année.</w:t>
      </w:r>
    </w:p>
    <w:p>
      <w:pPr>
        <w:numPr>
          <w:ilvl w:val="0"/>
          <w:numId w:val="1006"/>
        </w:numPr>
        <w:pStyle w:val="Compact"/>
      </w:pPr>
      <w:r>
        <w:rPr>
          <w:bCs/>
          <w:b/>
        </w:rPr>
        <w:t xml:space="preserve">Tester a posteriori</w:t>
      </w:r>
      <w:r>
        <w:t xml:space="preserve"> </w:t>
      </w:r>
      <w:r>
        <w:t xml:space="preserve">: boni/mali de liquidation.</w:t>
      </w:r>
    </w:p>
    <w:p>
      <w:pPr>
        <w:numPr>
          <w:ilvl w:val="0"/>
          <w:numId w:val="1006"/>
        </w:numPr>
        <w:pStyle w:val="Compact"/>
      </w:pPr>
      <w:r>
        <w:rPr>
          <w:bCs/>
          <w:b/>
        </w:rPr>
        <w:t xml:space="preserve">Analyser l’équilibre technique</w:t>
      </w:r>
      <w:r>
        <w:t xml:space="preserve"> </w:t>
      </w:r>
      <w:r>
        <w:t xml:space="preserve">: cotisations vs prestations vs frais, par produit et par année.</w:t>
      </w:r>
    </w:p>
    <w:p>
      <w:pPr>
        <w:numPr>
          <w:ilvl w:val="0"/>
          <w:numId w:val="1006"/>
        </w:numPr>
        <w:pStyle w:val="Compact"/>
      </w:pPr>
      <w:r>
        <w:rPr>
          <w:bCs/>
          <w:b/>
        </w:rPr>
        <w:t xml:space="preserve">Faire l’ALM au 31 août 2026</w:t>
      </w:r>
      <w:r>
        <w:t xml:space="preserve"> </w:t>
      </w:r>
      <w:r>
        <w:t xml:space="preserve">et sur l’historique si les données le permettent.</w:t>
      </w:r>
    </w:p>
    <w:p>
      <w:pPr>
        <w:numPr>
          <w:ilvl w:val="0"/>
          <w:numId w:val="1006"/>
        </w:numPr>
        <w:pStyle w:val="Compact"/>
      </w:pPr>
      <w:r>
        <w:rPr>
          <w:bCs/>
          <w:b/>
        </w:rPr>
        <w:t xml:space="preserve">Projeter</w:t>
      </w:r>
      <w:r>
        <w:t xml:space="preserve"> </w:t>
      </w:r>
      <w:r>
        <w:t xml:space="preserve">les flux sur 5 à 10 ans : sorties en retraite, prestations santé, cotisations.</w:t>
      </w:r>
    </w:p>
    <w:p>
      <w:pPr>
        <w:numPr>
          <w:ilvl w:val="0"/>
          <w:numId w:val="1006"/>
        </w:numPr>
        <w:pStyle w:val="Compact"/>
      </w:pPr>
      <w:r>
        <w:rPr>
          <w:bCs/>
          <w:b/>
        </w:rPr>
        <w:t xml:space="preserve">Conclure et recommander</w:t>
      </w:r>
      <w:r>
        <w:t xml:space="preserve"> </w:t>
      </w:r>
      <w:r>
        <w:t xml:space="preserve">: insuffisance chiffrée, mesures correctrices (cotisations, réserves, placements, gouvernance des données).</w:t>
      </w:r>
    </w:p>
    <w:bookmarkEnd w:id="34"/>
    <w:bookmarkStart w:id="35" w:name="points-de-vigilance-déjà-visibles"/>
    <w:p>
      <w:pPr>
        <w:pStyle w:val="Heading1"/>
      </w:pPr>
      <w:r>
        <w:t xml:space="preserve">5. Points de vigilance déjà visibles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Pourquoi c’est important</w:t>
            </w:r>
          </w:p>
        </w:tc>
        <w:tc>
          <w:tcPr/>
          <w:p>
            <w:pPr>
              <w:pStyle w:val="Compact"/>
              <w:jc w:val="left"/>
            </w:pPr>
            <w:r>
              <w:t xml:space="preserve">Ce qu’il faut vérifier</w:t>
            </w:r>
          </w:p>
        </w:tc>
      </w:tr>
      <w:tr>
        <w:tc>
          <w:tcPr/>
          <w:p>
            <w:pPr>
              <w:pStyle w:val="Compact"/>
              <w:jc w:val="left"/>
            </w:pPr>
            <w:r>
              <w:t xml:space="preserve">Statut juridique et textes jugés caducs</w:t>
            </w:r>
          </w:p>
        </w:tc>
        <w:tc>
          <w:tcPr/>
          <w:p>
            <w:pPr>
              <w:pStyle w:val="Compact"/>
              <w:jc w:val="left"/>
            </w:pPr>
            <w:r>
              <w:t xml:space="preserve">Détermine les règles applicables et la nature des engagements</w:t>
            </w:r>
          </w:p>
        </w:tc>
        <w:tc>
          <w:tcPr/>
          <w:p>
            <w:pPr>
              <w:pStyle w:val="Compact"/>
              <w:jc w:val="left"/>
            </w:pPr>
            <w:r>
              <w:t xml:space="preserve">Agrément AIRMS, statuts en vigueur, date d’adoption</w:t>
            </w:r>
          </w:p>
        </w:tc>
      </w:tr>
      <w:tr>
        <w:tc>
          <w:tcPr/>
          <w:p>
            <w:pPr>
              <w:pStyle w:val="Compact"/>
              <w:jc w:val="left"/>
            </w:pPr>
            <w:r>
              <w:t xml:space="preserve">Cotisations retenues par le Trésor non reversées (&gt; 3 milliards FCFA)</w:t>
            </w:r>
          </w:p>
        </w:tc>
        <w:tc>
          <w:tcPr/>
          <w:p>
            <w:pPr>
              <w:pStyle w:val="Compact"/>
              <w:jc w:val="left"/>
            </w:pPr>
            <w:r>
              <w:t xml:space="preserve">Créance douteuse au bilan, manque de liquidité</w:t>
            </w:r>
          </w:p>
        </w:tc>
        <w:tc>
          <w:tcPr/>
          <w:p>
            <w:pPr>
              <w:pStyle w:val="Compact"/>
              <w:jc w:val="left"/>
            </w:pPr>
            <w:r>
              <w:t xml:space="preserve">Montant actuel, échéancier, reconnaissance de dette par l’État, dépréciation</w:t>
            </w:r>
          </w:p>
        </w:tc>
      </w:tr>
      <w:tr>
        <w:tc>
          <w:tcPr/>
          <w:p>
            <w:pPr>
              <w:pStyle w:val="Compact"/>
              <w:jc w:val="left"/>
            </w:pPr>
            <w:r>
              <w:t xml:space="preserve">Épargne échue payée en retard (2014-2015)</w:t>
            </w:r>
          </w:p>
        </w:tc>
        <w:tc>
          <w:tcPr/>
          <w:p>
            <w:pPr>
              <w:pStyle w:val="Compact"/>
              <w:jc w:val="left"/>
            </w:pPr>
            <w:r>
              <w:t xml:space="preserve">Signe d’insuffisance de liquidité ou de provisions</w:t>
            </w:r>
          </w:p>
        </w:tc>
        <w:tc>
          <w:tcPr/>
          <w:p>
            <w:pPr>
              <w:pStyle w:val="Compact"/>
              <w:jc w:val="left"/>
            </w:pPr>
            <w:r>
              <w:t xml:space="preserve">Stock actuel de prestations échues non payées</w:t>
            </w:r>
          </w:p>
        </w:tc>
      </w:tr>
      <w:tr>
        <w:tc>
          <w:tcPr/>
          <w:p>
            <w:pPr>
              <w:pStyle w:val="Compact"/>
              <w:jc w:val="left"/>
            </w:pPr>
            <w:r>
              <w:t xml:space="preserve">Apurement annoncé de plus de 11 milliards FCFA de dettes (AG 2026)</w:t>
            </w:r>
          </w:p>
        </w:tc>
        <w:tc>
          <w:tcPr/>
          <w:p>
            <w:pPr>
              <w:pStyle w:val="Compact"/>
              <w:jc w:val="left"/>
            </w:pPr>
            <w:r>
              <w:t xml:space="preserve">Ampleur des retards accumulés</w:t>
            </w:r>
          </w:p>
        </w:tc>
        <w:tc>
          <w:tcPr/>
          <w:p>
            <w:pPr>
              <w:pStyle w:val="Compact"/>
              <w:jc w:val="left"/>
            </w:pPr>
            <w:r>
              <w:t xml:space="preserve">Détail par créancier, date, source de financement de l’apurement</w:t>
            </w:r>
          </w:p>
        </w:tc>
      </w:tr>
      <w:tr>
        <w:tc>
          <w:tcPr/>
          <w:p>
            <w:pPr>
              <w:pStyle w:val="Compact"/>
              <w:jc w:val="left"/>
            </w:pPr>
            <w:r>
              <w:t xml:space="preserve">Extension santé aux retraités</w:t>
            </w:r>
          </w:p>
        </w:tc>
        <w:tc>
          <w:tcPr/>
          <w:p>
            <w:pPr>
              <w:pStyle w:val="Compact"/>
              <w:jc w:val="left"/>
            </w:pPr>
            <w:r>
              <w:t xml:space="preserve">Coût en hausse, populations sans retenue sur solde</w:t>
            </w:r>
          </w:p>
        </w:tc>
        <w:tc>
          <w:tcPr/>
          <w:p>
            <w:pPr>
              <w:pStyle w:val="Compact"/>
              <w:jc w:val="left"/>
            </w:pPr>
            <w:r>
              <w:t xml:space="preserve">Cotisation des retraités, mode de recouvrement, S/C retraités</w:t>
            </w:r>
          </w:p>
        </w:tc>
      </w:tr>
      <w:tr>
        <w:tc>
          <w:tcPr/>
          <w:p>
            <w:pPr>
              <w:pStyle w:val="Compact"/>
              <w:jc w:val="left"/>
            </w:pPr>
            <w:r>
              <w:t xml:space="preserve">Mandats prorogés à 2028</w:t>
            </w:r>
          </w:p>
        </w:tc>
        <w:tc>
          <w:tcPr/>
          <w:p>
            <w:pPr>
              <w:pStyle w:val="Compact"/>
              <w:jc w:val="left"/>
            </w:pPr>
            <w:r>
              <w:t xml:space="preserve">Gouvernance</w:t>
            </w:r>
          </w:p>
        </w:tc>
        <w:tc>
          <w:tcPr/>
          <w:p>
            <w:pPr>
              <w:pStyle w:val="Compact"/>
              <w:jc w:val="left"/>
            </w:pPr>
            <w:r>
              <w:t xml:space="preserve">Rapports du comité de contrôle, PV d’AG</w:t>
            </w:r>
          </w:p>
        </w:tc>
      </w:tr>
      <w:tr>
        <w:tc>
          <w:tcPr/>
          <w:p>
            <w:pPr>
              <w:pStyle w:val="Compact"/>
              <w:jc w:val="left"/>
            </w:pPr>
            <w:r>
              <w:t xml:space="preserve">Activités hors mutualité (auto, SCI, clinique)</w:t>
            </w:r>
          </w:p>
        </w:tc>
        <w:tc>
          <w:tcPr/>
          <w:p>
            <w:pPr>
              <w:pStyle w:val="Compact"/>
              <w:jc w:val="left"/>
            </w:pPr>
            <w:r>
              <w:t xml:space="preserve">Risques non mutualistes, actifs illiquides</w:t>
            </w:r>
          </w:p>
        </w:tc>
        <w:tc>
          <w:tcPr/>
          <w:p>
            <w:pPr>
              <w:pStyle w:val="Compact"/>
              <w:jc w:val="left"/>
            </w:pPr>
            <w:r>
              <w:t xml:space="preserve">Montages juridiques, flux financiers avec le FPPN</w:t>
            </w:r>
          </w:p>
        </w:tc>
      </w:tr>
    </w:tbl>
    <w:bookmarkEnd w:id="35"/>
    <w:bookmarkStart w:id="41" w:name="questions-à-poser-en-réunion"/>
    <w:p>
      <w:pPr>
        <w:pStyle w:val="Heading1"/>
      </w:pPr>
      <w:r>
        <w:t xml:space="preserve">6. Questions à poser en réunion</w:t>
      </w:r>
    </w:p>
    <w:bookmarkStart w:id="36" w:name="statut-et-cadre"/>
    <w:p>
      <w:pPr>
        <w:pStyle w:val="Heading2"/>
      </w:pPr>
      <w:r>
        <w:t xml:space="preserve">6.1 Statut et cadre</w:t>
      </w:r>
    </w:p>
    <w:p>
      <w:pPr>
        <w:numPr>
          <w:ilvl w:val="0"/>
          <w:numId w:val="1007"/>
        </w:numPr>
        <w:pStyle w:val="Compact"/>
      </w:pPr>
      <w:r>
        <w:t xml:space="preserve">Le FPPN est-il agréé et immatriculé par l’AIRMS ? Depuis quand, sous quel numéro ?</w:t>
      </w:r>
    </w:p>
    <w:p>
      <w:pPr>
        <w:numPr>
          <w:ilvl w:val="0"/>
          <w:numId w:val="1007"/>
        </w:numPr>
        <w:pStyle w:val="Compact"/>
      </w:pPr>
      <w:r>
        <w:t xml:space="preserve">Quels statuts et règlements intérieurs sont en vigueur ? Depuis quelle date ?</w:t>
      </w:r>
    </w:p>
    <w:p>
      <w:pPr>
        <w:numPr>
          <w:ilvl w:val="0"/>
          <w:numId w:val="1007"/>
        </w:numPr>
        <w:pStyle w:val="Compact"/>
      </w:pPr>
      <w:r>
        <w:t xml:space="preserve">Le FPPN a-t-il déposé chaque année à l’AIRMS son rapport technique et ses états financiers ? L’AIRMS a-t-elle fait des observations ou des contrôles ?</w:t>
      </w:r>
    </w:p>
    <w:p>
      <w:pPr>
        <w:numPr>
          <w:ilvl w:val="0"/>
          <w:numId w:val="1007"/>
        </w:numPr>
        <w:pStyle w:val="Compact"/>
      </w:pPr>
      <w:r>
        <w:t xml:space="preserve">Quel référentiel comptable est appliqué (PCMS) ? Depuis quel exercice ?</w:t>
      </w:r>
    </w:p>
    <w:p>
      <w:pPr>
        <w:numPr>
          <w:ilvl w:val="0"/>
          <w:numId w:val="1007"/>
        </w:numPr>
        <w:pStyle w:val="Compact"/>
      </w:pPr>
      <w:r>
        <w:t xml:space="preserve">Quelle est la date de clôture de l’exercice ? Pourquoi un arrêté au 31 août 2026 ?</w:t>
      </w:r>
    </w:p>
    <w:p>
      <w:pPr>
        <w:numPr>
          <w:ilvl w:val="0"/>
          <w:numId w:val="1007"/>
        </w:numPr>
        <w:pStyle w:val="Compact"/>
      </w:pPr>
      <w:r>
        <w:t xml:space="preserve">Un actuaire a-t-il déjà évalué les engagements ? Existe-t-il un rapport actuariel antérieur ?</w:t>
      </w:r>
    </w:p>
    <w:bookmarkEnd w:id="36"/>
    <w:bookmarkStart w:id="37" w:name="prestations-et-cotisations"/>
    <w:p>
      <w:pPr>
        <w:pStyle w:val="Heading2"/>
      </w:pPr>
      <w:r>
        <w:t xml:space="preserve">6.2 Prestations et cotisations</w:t>
      </w:r>
    </w:p>
    <w:p>
      <w:pPr>
        <w:numPr>
          <w:ilvl w:val="0"/>
          <w:numId w:val="1008"/>
        </w:numPr>
        <w:pStyle w:val="Compact"/>
      </w:pPr>
      <w:r>
        <w:t xml:space="preserve">Quelle est la liste exhaustive des prestations servies, avec leurs règles (montants, conditions, plafonds, délais de carence) pour chaque année de 2020 à 2026 ?</w:t>
      </w:r>
    </w:p>
    <w:p>
      <w:pPr>
        <w:numPr>
          <w:ilvl w:val="0"/>
          <w:numId w:val="1008"/>
        </w:numPr>
        <w:pStyle w:val="Compact"/>
      </w:pPr>
      <w:r>
        <w:t xml:space="preserve">Quel est le montant de la cotisation, par catégorie de membre ? Comment se répartit-elle entre santé, épargne, décès-invalidité, frais de gestion ?</w:t>
      </w:r>
    </w:p>
    <w:p>
      <w:pPr>
        <w:numPr>
          <w:ilvl w:val="0"/>
          <w:numId w:val="1008"/>
        </w:numPr>
        <w:pStyle w:val="Compact"/>
      </w:pPr>
      <w:r>
        <w:t xml:space="preserve">L’épargne de fin de carrière est-elle garantie ? À quel taux d’intérêt les comptes sont-ils crédités ? Qui décide ce taux ?</w:t>
      </w:r>
    </w:p>
    <w:p>
      <w:pPr>
        <w:numPr>
          <w:ilvl w:val="0"/>
          <w:numId w:val="1008"/>
        </w:numPr>
        <w:pStyle w:val="Compact"/>
      </w:pPr>
      <w:r>
        <w:t xml:space="preserve">Que reçoit un adhérent qui quitte la police avant la retraite (démission, révocation, décès) ?</w:t>
      </w:r>
    </w:p>
    <w:p>
      <w:pPr>
        <w:numPr>
          <w:ilvl w:val="0"/>
          <w:numId w:val="1008"/>
        </w:numPr>
        <w:pStyle w:val="Compact"/>
      </w:pPr>
      <w:r>
        <w:t xml:space="preserve">L’allocation décès est-elle un capital unique ou une rente ? Est-elle maintenue pour les retraités ?</w:t>
      </w:r>
    </w:p>
    <w:p>
      <w:pPr>
        <w:numPr>
          <w:ilvl w:val="0"/>
          <w:numId w:val="1008"/>
        </w:numPr>
        <w:pStyle w:val="Compact"/>
      </w:pPr>
      <w:r>
        <w:t xml:space="preserve">Comment cotisent les retraités pour la santé ?</w:t>
      </w:r>
    </w:p>
    <w:p>
      <w:pPr>
        <w:numPr>
          <w:ilvl w:val="0"/>
          <w:numId w:val="1008"/>
        </w:numPr>
        <w:pStyle w:val="Compact"/>
      </w:pPr>
      <w:r>
        <w:t xml:space="preserve">Quel est l’âge de départ à la retraite applicable aux policiers ?</w:t>
      </w:r>
    </w:p>
    <w:bookmarkEnd w:id="37"/>
    <w:bookmarkStart w:id="38" w:name="engagements-et-provisions"/>
    <w:p>
      <w:pPr>
        <w:pStyle w:val="Heading2"/>
      </w:pPr>
      <w:r>
        <w:t xml:space="preserve">6.3 Engagements et provisions</w:t>
      </w:r>
    </w:p>
    <w:p>
      <w:pPr>
        <w:numPr>
          <w:ilvl w:val="0"/>
          <w:numId w:val="1009"/>
        </w:numPr>
        <w:pStyle w:val="Compact"/>
      </w:pPr>
      <w:r>
        <w:t xml:space="preserve">Quelles provisions sont inscrites au bilan, par prestation ? Comment sont-elles calculées ?</w:t>
      </w:r>
    </w:p>
    <w:p>
      <w:pPr>
        <w:numPr>
          <w:ilvl w:val="0"/>
          <w:numId w:val="1009"/>
        </w:numPr>
        <w:pStyle w:val="Compact"/>
      </w:pPr>
      <w:r>
        <w:t xml:space="preserve">Existe-t-il un stock de prestations échues non payées (épargne, décès, factures de soins) ? Montant par année d’origine ?</w:t>
      </w:r>
    </w:p>
    <w:p>
      <w:pPr>
        <w:numPr>
          <w:ilvl w:val="0"/>
          <w:numId w:val="1009"/>
        </w:numPr>
        <w:pStyle w:val="Compact"/>
      </w:pPr>
      <w:r>
        <w:t xml:space="preserve">Comment sont suivies les factures des prestataires de santé ? Quel est le délai moyen de paiement ?</w:t>
      </w:r>
    </w:p>
    <w:p>
      <w:pPr>
        <w:numPr>
          <w:ilvl w:val="0"/>
          <w:numId w:val="1009"/>
        </w:numPr>
        <w:pStyle w:val="Compact"/>
      </w:pPr>
      <w:r>
        <w:t xml:space="preserve">Les comptes individuels d’épargne sont-ils tenus informatiquement ? Le total correspond-il à la comptabilité ?</w:t>
      </w:r>
    </w:p>
    <w:bookmarkEnd w:id="38"/>
    <w:bookmarkStart w:id="39" w:name="actifs-et-liquidité"/>
    <w:p>
      <w:pPr>
        <w:pStyle w:val="Heading2"/>
      </w:pPr>
      <w:r>
        <w:t xml:space="preserve">6.4 Actifs et liquidité</w:t>
      </w:r>
    </w:p>
    <w:p>
      <w:pPr>
        <w:numPr>
          <w:ilvl w:val="0"/>
          <w:numId w:val="1010"/>
        </w:numPr>
        <w:pStyle w:val="Compact"/>
      </w:pPr>
      <w:r>
        <w:t xml:space="preserve">Quelle est la composition des placements au 31 août 2026 (banques, montants, échéances, taux) ?</w:t>
      </w:r>
    </w:p>
    <w:p>
      <w:pPr>
        <w:numPr>
          <w:ilvl w:val="0"/>
          <w:numId w:val="1010"/>
        </w:numPr>
        <w:pStyle w:val="Compact"/>
      </w:pPr>
      <w:r>
        <w:t xml:space="preserve">Quel est l’état de la créance sur l’État ? Un échéancier de remboursement existe-t-il ?</w:t>
      </w:r>
    </w:p>
    <w:p>
      <w:pPr>
        <w:numPr>
          <w:ilvl w:val="0"/>
          <w:numId w:val="1010"/>
        </w:numPr>
        <w:pStyle w:val="Compact"/>
      </w:pPr>
      <w:r>
        <w:t xml:space="preserve">Comment ont été financés les 11 milliards FCFA de dettes apurées ?</w:t>
      </w:r>
    </w:p>
    <w:p>
      <w:pPr>
        <w:numPr>
          <w:ilvl w:val="0"/>
          <w:numId w:val="1010"/>
        </w:numPr>
        <w:pStyle w:val="Compact"/>
      </w:pPr>
      <w:r>
        <w:t xml:space="preserve">Comment sont valorisées la clinique et la SCI ? Dernière expertise ?</w:t>
      </w:r>
    </w:p>
    <w:p>
      <w:pPr>
        <w:numPr>
          <w:ilvl w:val="0"/>
          <w:numId w:val="1010"/>
        </w:numPr>
        <w:pStyle w:val="Compact"/>
      </w:pPr>
      <w:r>
        <w:t xml:space="preserve">Existe-t-il une politique de placement écrite, approuvée par le conseil ?</w:t>
      </w:r>
    </w:p>
    <w:bookmarkEnd w:id="39"/>
    <w:bookmarkStart w:id="40" w:name="organisation-de-la-mission"/>
    <w:p>
      <w:pPr>
        <w:pStyle w:val="Heading2"/>
      </w:pPr>
      <w:r>
        <w:t xml:space="preserve">6.5 Organisation de la mission</w:t>
      </w:r>
    </w:p>
    <w:p>
      <w:pPr>
        <w:numPr>
          <w:ilvl w:val="0"/>
          <w:numId w:val="1011"/>
        </w:numPr>
        <w:pStyle w:val="Compact"/>
      </w:pPr>
      <w:r>
        <w:t xml:space="preserve">Qui est mon interlocuteur pour les données ? Délais de transmission ?</w:t>
      </w:r>
    </w:p>
    <w:p>
      <w:pPr>
        <w:numPr>
          <w:ilvl w:val="0"/>
          <w:numId w:val="1011"/>
        </w:numPr>
        <w:pStyle w:val="Compact"/>
      </w:pPr>
      <w:r>
        <w:t xml:space="preserve">Sous quel format les données sont-elles disponibles (Excel, base de données, papier) ?</w:t>
      </w:r>
    </w:p>
    <w:p>
      <w:pPr>
        <w:numPr>
          <w:ilvl w:val="0"/>
          <w:numId w:val="1011"/>
        </w:numPr>
        <w:pStyle w:val="Compact"/>
      </w:pPr>
      <w:r>
        <w:t xml:space="preserve">Quel calendrier de restitution est prévu pour le rapport actuariel ?</w:t>
      </w:r>
    </w:p>
    <w:bookmarkEnd w:id="40"/>
    <w:bookmarkEnd w:id="41"/>
    <w:bookmarkStart w:id="46" w:name="documents-et-données-à-demander"/>
    <w:p>
      <w:pPr>
        <w:pStyle w:val="Heading1"/>
      </w:pPr>
      <w:r>
        <w:t xml:space="preserve">7. Documents et données à demander</w:t>
      </w:r>
    </w:p>
    <w:bookmarkStart w:id="42" w:name="documents-juridiques-et-de-gouvernance"/>
    <w:p>
      <w:pPr>
        <w:pStyle w:val="Heading2"/>
      </w:pPr>
      <w:r>
        <w:t xml:space="preserve">7.1 Documents juridiques et de gouvernance</w:t>
      </w:r>
    </w:p>
    <w:p>
      <w:pPr>
        <w:numPr>
          <w:ilvl w:val="0"/>
          <w:numId w:val="1012"/>
        </w:numPr>
        <w:pStyle w:val="Compact"/>
      </w:pPr>
      <w:r>
        <w:t xml:space="preserve">Statuts et règlements intérieurs successifs (2000 à 2026), avec dates d’adoption.</w:t>
      </w:r>
    </w:p>
    <w:p>
      <w:pPr>
        <w:numPr>
          <w:ilvl w:val="0"/>
          <w:numId w:val="1012"/>
        </w:numPr>
        <w:pStyle w:val="Compact"/>
      </w:pPr>
      <w:r>
        <w:t xml:space="preserve">Décision d’agrément et certificat d’immatriculation AIRMS.</w:t>
      </w:r>
    </w:p>
    <w:p>
      <w:pPr>
        <w:numPr>
          <w:ilvl w:val="0"/>
          <w:numId w:val="1012"/>
        </w:numPr>
        <w:pStyle w:val="Compact"/>
      </w:pPr>
      <w:r>
        <w:t xml:space="preserve">PV des AG et des conseils d’administration 2020-2026 (dont AG mixte du 15 juin 2023 et AG du 17 avril 2026).</w:t>
      </w:r>
    </w:p>
    <w:p>
      <w:pPr>
        <w:numPr>
          <w:ilvl w:val="0"/>
          <w:numId w:val="1012"/>
        </w:numPr>
        <w:pStyle w:val="Compact"/>
      </w:pPr>
      <w:r>
        <w:t xml:space="preserve">Correspondances avec l’AIRMS (rapports de contrôle, observations, plans de redressement éventuels).</w:t>
      </w:r>
    </w:p>
    <w:p>
      <w:pPr>
        <w:numPr>
          <w:ilvl w:val="0"/>
          <w:numId w:val="1012"/>
        </w:numPr>
        <w:pStyle w:val="Compact"/>
      </w:pPr>
      <w:r>
        <w:t xml:space="preserve">Conventions avec les prestataires de santé, avec la clinique, avec la SCI, avec l’assureur auto.</w:t>
      </w:r>
    </w:p>
    <w:p>
      <w:pPr>
        <w:numPr>
          <w:ilvl w:val="0"/>
          <w:numId w:val="1012"/>
        </w:numPr>
        <w:pStyle w:val="Compact"/>
      </w:pPr>
      <w:r>
        <w:t xml:space="preserve">Conventions avec l’État ou le Trésor sur la retenue et le reversement des cotisations.</w:t>
      </w:r>
    </w:p>
    <w:bookmarkEnd w:id="42"/>
    <w:bookmarkStart w:id="43" w:name="documents-comptables-et-financiers"/>
    <w:p>
      <w:pPr>
        <w:pStyle w:val="Heading2"/>
      </w:pPr>
      <w:r>
        <w:t xml:space="preserve">7.2 Documents comptables et financiers</w:t>
      </w:r>
    </w:p>
    <w:p>
      <w:pPr>
        <w:numPr>
          <w:ilvl w:val="0"/>
          <w:numId w:val="1013"/>
        </w:numPr>
        <w:pStyle w:val="Compact"/>
      </w:pPr>
      <w:r>
        <w:t xml:space="preserve">États financiers 2020 à 2025 et situation au 31 août 2026, avec annexes.</w:t>
      </w:r>
    </w:p>
    <w:p>
      <w:pPr>
        <w:numPr>
          <w:ilvl w:val="0"/>
          <w:numId w:val="1013"/>
        </w:numPr>
        <w:pStyle w:val="Compact"/>
      </w:pPr>
      <w:r>
        <w:t xml:space="preserve">Rapports des commissaires aux comptes et du comité de contrôle.</w:t>
      </w:r>
    </w:p>
    <w:p>
      <w:pPr>
        <w:numPr>
          <w:ilvl w:val="0"/>
          <w:numId w:val="1013"/>
        </w:numPr>
        <w:pStyle w:val="Compact"/>
      </w:pPr>
      <w:r>
        <w:t xml:space="preserve">Balances générales et grands livres des comptes de provisions, de prestations et de placements.</w:t>
      </w:r>
    </w:p>
    <w:p>
      <w:pPr>
        <w:numPr>
          <w:ilvl w:val="0"/>
          <w:numId w:val="1013"/>
        </w:numPr>
        <w:pStyle w:val="Compact"/>
      </w:pPr>
      <w:r>
        <w:t xml:space="preserve">Rapports techniques déposés à l’AIRMS.</w:t>
      </w:r>
    </w:p>
    <w:p>
      <w:pPr>
        <w:numPr>
          <w:ilvl w:val="0"/>
          <w:numId w:val="1013"/>
        </w:numPr>
        <w:pStyle w:val="Compact"/>
      </w:pPr>
      <w:r>
        <w:t xml:space="preserve">Rapport actuariel antérieur, s’il existe.</w:t>
      </w:r>
    </w:p>
    <w:bookmarkEnd w:id="43"/>
    <w:bookmarkStart w:id="44" w:name="Xd8b491433690c9b8835c0b451d0063538680ff8"/>
    <w:p>
      <w:pPr>
        <w:pStyle w:val="Heading2"/>
      </w:pPr>
      <w:r>
        <w:t xml:space="preserve">7.3 Données individuelles (format Excel, une ligne par personne)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Champs minimum</w:t>
            </w:r>
          </w:p>
        </w:tc>
      </w:tr>
      <w:tr>
        <w:tc>
          <w:tcPr/>
          <w:p>
            <w:pPr>
              <w:pStyle w:val="Compact"/>
              <w:jc w:val="left"/>
            </w:pPr>
            <w:r>
              <w:rPr>
                <w:bCs/>
                <w:b/>
              </w:rPr>
              <w:t xml:space="preserve">Adhérents</w:t>
            </w:r>
            <w:r>
              <w:t xml:space="preserve"> </w:t>
            </w:r>
            <w:r>
              <w:t xml:space="preserve">(à chaque clôture)</w:t>
            </w:r>
          </w:p>
        </w:tc>
        <w:tc>
          <w:tcPr/>
          <w:p>
            <w:pPr>
              <w:pStyle w:val="Compact"/>
              <w:jc w:val="left"/>
            </w:pPr>
            <w:r>
              <w:t xml:space="preserve">Identifiant, date de naissance, sexe, date d’entrée, statut (actif, retraité, sorti), date de sortie et motif, grade (si utile), cotisation mensuelle</w:t>
            </w:r>
          </w:p>
        </w:tc>
      </w:tr>
      <w:tr>
        <w:tc>
          <w:tcPr/>
          <w:p>
            <w:pPr>
              <w:pStyle w:val="Compact"/>
              <w:jc w:val="left"/>
            </w:pPr>
            <w:r>
              <w:rPr>
                <w:bCs/>
                <w:b/>
              </w:rPr>
              <w:t xml:space="preserve">Ayants droit</w:t>
            </w:r>
          </w:p>
        </w:tc>
        <w:tc>
          <w:tcPr/>
          <w:p>
            <w:pPr>
              <w:pStyle w:val="Compact"/>
              <w:jc w:val="left"/>
            </w:pPr>
            <w:r>
              <w:t xml:space="preserve">Identifiant de l’adhérent, lien (conjoint, enfant), date de naissance</w:t>
            </w:r>
          </w:p>
        </w:tc>
      </w:tr>
      <w:tr>
        <w:tc>
          <w:tcPr/>
          <w:p>
            <w:pPr>
              <w:pStyle w:val="Compact"/>
              <w:jc w:val="left"/>
            </w:pPr>
            <w:r>
              <w:rPr>
                <w:bCs/>
                <w:b/>
              </w:rPr>
              <w:t xml:space="preserve">Comptes d’épargne</w:t>
            </w:r>
          </w:p>
        </w:tc>
        <w:tc>
          <w:tcPr/>
          <w:p>
            <w:pPr>
              <w:pStyle w:val="Compact"/>
              <w:jc w:val="left"/>
            </w:pPr>
            <w:r>
              <w:t xml:space="preserve">Identifiant, produit, solde d’ouverture, versements, intérêts crédités, retraits, solde de clôture, par année</w:t>
            </w:r>
          </w:p>
        </w:tc>
      </w:tr>
      <w:tr>
        <w:tc>
          <w:tcPr/>
          <w:p>
            <w:pPr>
              <w:pStyle w:val="Compact"/>
              <w:jc w:val="left"/>
            </w:pPr>
            <w:r>
              <w:rPr>
                <w:bCs/>
                <w:b/>
              </w:rPr>
              <w:t xml:space="preserve">Prestations santé</w:t>
            </w:r>
          </w:p>
        </w:tc>
        <w:tc>
          <w:tcPr/>
          <w:p>
            <w:pPr>
              <w:pStyle w:val="Compact"/>
              <w:jc w:val="left"/>
            </w:pPr>
            <w:r>
              <w:t xml:space="preserve">Identifiant du bénéficiaire, date des soins, date de réception de la facture, date de paiement, montant facturé, montant payé, prestataire, type d’acte</w:t>
            </w:r>
          </w:p>
        </w:tc>
      </w:tr>
      <w:tr>
        <w:tc>
          <w:tcPr/>
          <w:p>
            <w:pPr>
              <w:pStyle w:val="Compact"/>
              <w:jc w:val="left"/>
            </w:pPr>
            <w:r>
              <w:rPr>
                <w:bCs/>
                <w:b/>
              </w:rPr>
              <w:t xml:space="preserve">Prestations décès-invalidité</w:t>
            </w:r>
          </w:p>
        </w:tc>
        <w:tc>
          <w:tcPr/>
          <w:p>
            <w:pPr>
              <w:pStyle w:val="Compact"/>
              <w:jc w:val="left"/>
            </w:pPr>
            <w:r>
              <w:t xml:space="preserve">Identifiant, date de l’événement, date de déclaration, date de paiement, montant, statut du dossier</w:t>
            </w:r>
          </w:p>
        </w:tc>
      </w:tr>
      <w:tr>
        <w:tc>
          <w:tcPr/>
          <w:p>
            <w:pPr>
              <w:pStyle w:val="Compact"/>
              <w:jc w:val="left"/>
            </w:pPr>
            <w:r>
              <w:rPr>
                <w:bCs/>
                <w:b/>
              </w:rPr>
              <w:t xml:space="preserve">Prestations d’épargne payées</w:t>
            </w:r>
          </w:p>
        </w:tc>
        <w:tc>
          <w:tcPr/>
          <w:p>
            <w:pPr>
              <w:pStyle w:val="Compact"/>
              <w:jc w:val="left"/>
            </w:pPr>
            <w:r>
              <w:t xml:space="preserve">Identifiant, date d’échéance, date de paiement, montant dû, montant payé</w:t>
            </w:r>
          </w:p>
        </w:tc>
      </w:tr>
      <w:tr>
        <w:tc>
          <w:tcPr/>
          <w:p>
            <w:pPr>
              <w:pStyle w:val="Compact"/>
              <w:jc w:val="left"/>
            </w:pPr>
            <w:r>
              <w:rPr>
                <w:bCs/>
                <w:b/>
              </w:rPr>
              <w:t xml:space="preserve">Dossiers en attente</w:t>
            </w:r>
          </w:p>
        </w:tc>
        <w:tc>
          <w:tcPr/>
          <w:p>
            <w:pPr>
              <w:pStyle w:val="Compact"/>
              <w:jc w:val="left"/>
            </w:pPr>
            <w:r>
              <w:t xml:space="preserve">Tous les dossiers non réglés à chaque clôture, avec montant et date d’origine</w:t>
            </w:r>
          </w:p>
        </w:tc>
      </w:tr>
      <w:tr>
        <w:tc>
          <w:tcPr/>
          <w:p>
            <w:pPr>
              <w:pStyle w:val="Compact"/>
              <w:jc w:val="left"/>
            </w:pPr>
            <w:r>
              <w:rPr>
                <w:bCs/>
                <w:b/>
              </w:rPr>
              <w:t xml:space="preserve">Cotisations</w:t>
            </w:r>
          </w:p>
        </w:tc>
        <w:tc>
          <w:tcPr/>
          <w:p>
            <w:pPr>
              <w:pStyle w:val="Compact"/>
              <w:jc w:val="left"/>
            </w:pPr>
            <w:r>
              <w:t xml:space="preserve">Montant dû et montant encaissé par mois, par catégorie, et montant retenu par le Trésor non reversé</w:t>
            </w:r>
          </w:p>
        </w:tc>
      </w:tr>
    </w:tbl>
    <w:bookmarkEnd w:id="44"/>
    <w:bookmarkStart w:id="45" w:name="données-sur-les-actifs"/>
    <w:p>
      <w:pPr>
        <w:pStyle w:val="Heading2"/>
      </w:pPr>
      <w:r>
        <w:t xml:space="preserve">7.4 Données sur les actifs</w:t>
      </w:r>
    </w:p>
    <w:p>
      <w:pPr>
        <w:numPr>
          <w:ilvl w:val="0"/>
          <w:numId w:val="1014"/>
        </w:numPr>
        <w:pStyle w:val="Compact"/>
      </w:pPr>
      <w:r>
        <w:t xml:space="preserve">Inventaire détaillé des placements à chaque clôture : nature, émetteur ou banque, montant, date d’échéance, taux, revenus encaissés.</w:t>
      </w:r>
    </w:p>
    <w:p>
      <w:pPr>
        <w:numPr>
          <w:ilvl w:val="0"/>
          <w:numId w:val="1014"/>
        </w:numPr>
        <w:pStyle w:val="Compact"/>
      </w:pPr>
      <w:r>
        <w:t xml:space="preserve">Relevés bancaires au 31 août 2026.</w:t>
      </w:r>
    </w:p>
    <w:p>
      <w:pPr>
        <w:numPr>
          <w:ilvl w:val="0"/>
          <w:numId w:val="1014"/>
        </w:numPr>
        <w:pStyle w:val="Compact"/>
      </w:pPr>
      <w:r>
        <w:t xml:space="preserve">Titres de propriété et expertises immobilières.</w:t>
      </w:r>
    </w:p>
    <w:p>
      <w:pPr>
        <w:numPr>
          <w:ilvl w:val="0"/>
          <w:numId w:val="1014"/>
        </w:numPr>
        <w:pStyle w:val="Compact"/>
      </w:pPr>
      <w:r>
        <w:t xml:space="preserve">Détail et ancienneté des créances (État, adhérents, autres).</w:t>
      </w:r>
    </w:p>
    <w:bookmarkEnd w:id="45"/>
    <w:bookmarkEnd w:id="46"/>
    <w:bookmarkStart w:id="47" w:name="plan-type-du-rapport-actuariel"/>
    <w:p>
      <w:pPr>
        <w:pStyle w:val="Heading1"/>
      </w:pPr>
      <w:r>
        <w:t xml:space="preserve">8. Plan type du rapport actuariel</w:t>
      </w:r>
    </w:p>
    <w:p>
      <w:pPr>
        <w:numPr>
          <w:ilvl w:val="0"/>
          <w:numId w:val="1015"/>
        </w:numPr>
        <w:pStyle w:val="Compact"/>
      </w:pPr>
      <w:r>
        <w:t xml:space="preserve">Synthèse et conclusions principales.</w:t>
      </w:r>
    </w:p>
    <w:p>
      <w:pPr>
        <w:numPr>
          <w:ilvl w:val="0"/>
          <w:numId w:val="1015"/>
        </w:numPr>
        <w:pStyle w:val="Compact"/>
      </w:pPr>
      <w:r>
        <w:t xml:space="preserve">Objet, périmètre, période et limites de la mission.</w:t>
      </w:r>
    </w:p>
    <w:p>
      <w:pPr>
        <w:numPr>
          <w:ilvl w:val="0"/>
          <w:numId w:val="1015"/>
        </w:numPr>
        <w:pStyle w:val="Compact"/>
      </w:pPr>
      <w:r>
        <w:t xml:space="preserve">Présentation du FPPN et des garanties.</w:t>
      </w:r>
    </w:p>
    <w:p>
      <w:pPr>
        <w:numPr>
          <w:ilvl w:val="0"/>
          <w:numId w:val="1015"/>
        </w:numPr>
        <w:pStyle w:val="Compact"/>
      </w:pPr>
      <w:r>
        <w:t xml:space="preserve">Cadre réglementaire et référentiel retenu (UEMOA, PCMS, références CIMA).</w:t>
      </w:r>
    </w:p>
    <w:p>
      <w:pPr>
        <w:numPr>
          <w:ilvl w:val="0"/>
          <w:numId w:val="1015"/>
        </w:numPr>
        <w:pStyle w:val="Compact"/>
      </w:pPr>
      <w:r>
        <w:t xml:space="preserve">Données reçues, contrôles et retraitements.</w:t>
      </w:r>
    </w:p>
    <w:p>
      <w:pPr>
        <w:numPr>
          <w:ilvl w:val="0"/>
          <w:numId w:val="1015"/>
        </w:numPr>
        <w:pStyle w:val="Compact"/>
      </w:pPr>
      <w:r>
        <w:t xml:space="preserve">Hypothèses (tables, taux, frais, comportements) et justification.</w:t>
      </w:r>
    </w:p>
    <w:p>
      <w:pPr>
        <w:numPr>
          <w:ilvl w:val="0"/>
          <w:numId w:val="1015"/>
        </w:numPr>
        <w:pStyle w:val="Compact"/>
      </w:pPr>
      <w:r>
        <w:t xml:space="preserve">Évaluation des engagements, par prestation et par clôture.</w:t>
      </w:r>
    </w:p>
    <w:p>
      <w:pPr>
        <w:numPr>
          <w:ilvl w:val="0"/>
          <w:numId w:val="1015"/>
        </w:numPr>
        <w:pStyle w:val="Compact"/>
      </w:pPr>
      <w:r>
        <w:t xml:space="preserve">Suffisance des provisions : comparaison bilan / recalcul, boni/mali.</w:t>
      </w:r>
    </w:p>
    <w:p>
      <w:pPr>
        <w:numPr>
          <w:ilvl w:val="0"/>
          <w:numId w:val="1015"/>
        </w:numPr>
        <w:pStyle w:val="Compact"/>
      </w:pPr>
      <w:r>
        <w:t xml:space="preserve">Équilibre technique et tarification.</w:t>
      </w:r>
    </w:p>
    <w:p>
      <w:pPr>
        <w:numPr>
          <w:ilvl w:val="0"/>
          <w:numId w:val="1015"/>
        </w:numPr>
        <w:pStyle w:val="Compact"/>
      </w:pPr>
      <w:r>
        <w:t xml:space="preserve">Adossement actif-passif et liquidité.</w:t>
      </w:r>
    </w:p>
    <w:p>
      <w:pPr>
        <w:numPr>
          <w:ilvl w:val="0"/>
          <w:numId w:val="1015"/>
        </w:numPr>
        <w:pStyle w:val="Compact"/>
      </w:pPr>
      <w:r>
        <w:t xml:space="preserve">Adéquation des placements et respect des ratios prudentiels.</w:t>
      </w:r>
    </w:p>
    <w:p>
      <w:pPr>
        <w:numPr>
          <w:ilvl w:val="0"/>
          <w:numId w:val="1015"/>
        </w:numPr>
        <w:pStyle w:val="Compact"/>
      </w:pPr>
      <w:r>
        <w:t xml:space="preserve">Points de vigilance et recommandations.</w:t>
      </w:r>
    </w:p>
    <w:p>
      <w:pPr>
        <w:numPr>
          <w:ilvl w:val="0"/>
          <w:numId w:val="1015"/>
        </w:numPr>
        <w:pStyle w:val="Compact"/>
      </w:pPr>
      <w:r>
        <w:t xml:space="preserve">Annexes : sources, détails de calcul, tests de sensibilité.</w:t>
      </w:r>
    </w:p>
    <w:bookmarkEnd w:id="47"/>
    <w:bookmarkStart w:id="48" w:name="glossaire"/>
    <w:p>
      <w:pPr>
        <w:pStyle w:val="Heading1"/>
      </w:pPr>
      <w:r>
        <w:t xml:space="preserve">9. Glossaire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Sens</w:t>
            </w:r>
          </w:p>
        </w:tc>
      </w:tr>
      <w:tr>
        <w:tc>
          <w:tcPr/>
          <w:p>
            <w:pPr>
              <w:pStyle w:val="Compact"/>
              <w:jc w:val="left"/>
            </w:pPr>
            <w:r>
              <w:t xml:space="preserve">AIRMS</w:t>
            </w:r>
          </w:p>
        </w:tc>
        <w:tc>
          <w:tcPr/>
          <w:p>
            <w:pPr>
              <w:pStyle w:val="Compact"/>
              <w:jc w:val="left"/>
            </w:pPr>
            <w:r>
              <w:t xml:space="preserve">Agence Ivoirienne de Régulation de la Mutualité Sociale. Agrée et contrôle les mutuelles sociales en Côte d’Ivoire.</w:t>
            </w:r>
          </w:p>
        </w:tc>
      </w:tr>
      <w:tr>
        <w:tc>
          <w:tcPr/>
          <w:p>
            <w:pPr>
              <w:pStyle w:val="Compact"/>
              <w:jc w:val="left"/>
            </w:pPr>
            <w:r>
              <w:t xml:space="preserve">ALM</w:t>
            </w:r>
          </w:p>
        </w:tc>
        <w:tc>
          <w:tcPr/>
          <w:p>
            <w:pPr>
              <w:pStyle w:val="Compact"/>
              <w:jc w:val="left"/>
            </w:pPr>
            <w:r>
              <w:t xml:space="preserve">Asset Liability Management : gestion actif-passif.</w:t>
            </w:r>
          </w:p>
        </w:tc>
      </w:tr>
      <w:tr>
        <w:tc>
          <w:tcPr/>
          <w:p>
            <w:pPr>
              <w:pStyle w:val="Compact"/>
              <w:jc w:val="left"/>
            </w:pPr>
            <w:r>
              <w:t xml:space="preserve">Ayant droit</w:t>
            </w:r>
          </w:p>
        </w:tc>
        <w:tc>
          <w:tcPr/>
          <w:p>
            <w:pPr>
              <w:pStyle w:val="Compact"/>
              <w:jc w:val="left"/>
            </w:pPr>
            <w:r>
              <w:t xml:space="preserve">Personne couverte du fait de l’adhérent (conjoint, enfants).</w:t>
            </w:r>
          </w:p>
        </w:tc>
      </w:tr>
      <w:tr>
        <w:tc>
          <w:tcPr/>
          <w:p>
            <w:pPr>
              <w:pStyle w:val="Compact"/>
              <w:jc w:val="left"/>
            </w:pPr>
            <w:r>
              <w:t xml:space="preserve">Chain ladder</w:t>
            </w:r>
          </w:p>
        </w:tc>
        <w:tc>
          <w:tcPr/>
          <w:p>
            <w:pPr>
              <w:pStyle w:val="Compact"/>
              <w:jc w:val="left"/>
            </w:pPr>
            <w:r>
              <w:t xml:space="preserve">Méthode qui projette les paiements futurs à partir du rythme de paiement observé dans le passé.</w:t>
            </w:r>
          </w:p>
        </w:tc>
      </w:tr>
      <w:tr>
        <w:tc>
          <w:tcPr/>
          <w:p>
            <w:pPr>
              <w:pStyle w:val="Compact"/>
              <w:jc w:val="left"/>
            </w:pPr>
            <w:r>
              <w:t xml:space="preserve">CIMA</w:t>
            </w:r>
          </w:p>
        </w:tc>
        <w:tc>
          <w:tcPr/>
          <w:p>
            <w:pPr>
              <w:pStyle w:val="Compact"/>
              <w:jc w:val="left"/>
            </w:pPr>
            <w:r>
              <w:t xml:space="preserve">Conférence Interafricaine des Marchés d’Assurances. Code applicable aux entreprises d’assurance de 14 pays, dont la Côte d’Ivoire.</w:t>
            </w:r>
          </w:p>
        </w:tc>
      </w:tr>
      <w:tr>
        <w:tc>
          <w:tcPr/>
          <w:p>
            <w:pPr>
              <w:pStyle w:val="Compact"/>
              <w:jc w:val="left"/>
            </w:pPr>
            <w:r>
              <w:t xml:space="preserve">FOMUS-CI</w:t>
            </w:r>
          </w:p>
        </w:tc>
        <w:tc>
          <w:tcPr/>
          <w:p>
            <w:pPr>
              <w:pStyle w:val="Compact"/>
              <w:jc w:val="left"/>
            </w:pPr>
            <w:r>
              <w:t xml:space="preserve">Fonds national de garantie des mutuelles sociales de Côte d’Ivoire.</w:t>
            </w:r>
          </w:p>
        </w:tc>
      </w:tr>
      <w:tr>
        <w:tc>
          <w:tcPr/>
          <w:p>
            <w:pPr>
              <w:pStyle w:val="Compact"/>
              <w:jc w:val="left"/>
            </w:pPr>
            <w:r>
              <w:t xml:space="preserve">IBNR</w:t>
            </w:r>
          </w:p>
        </w:tc>
        <w:tc>
          <w:tcPr/>
          <w:p>
            <w:pPr>
              <w:pStyle w:val="Compact"/>
              <w:jc w:val="left"/>
            </w:pPr>
            <w:r>
              <w:t xml:space="preserve">Sinistres survenus mais non encore déclarés.</w:t>
            </w:r>
          </w:p>
        </w:tc>
      </w:tr>
      <w:tr>
        <w:tc>
          <w:tcPr/>
          <w:p>
            <w:pPr>
              <w:pStyle w:val="Compact"/>
              <w:jc w:val="left"/>
            </w:pPr>
            <w:r>
              <w:t xml:space="preserve">PCMS</w:t>
            </w:r>
          </w:p>
        </w:tc>
        <w:tc>
          <w:tcPr/>
          <w:p>
            <w:pPr>
              <w:pStyle w:val="Compact"/>
              <w:jc w:val="left"/>
            </w:pPr>
            <w:r>
              <w:t xml:space="preserve">Plan Comptable des Mutuelles Sociales (UEMOA).</w:t>
            </w:r>
          </w:p>
        </w:tc>
      </w:tr>
      <w:tr>
        <w:tc>
          <w:tcPr/>
          <w:p>
            <w:pPr>
              <w:pStyle w:val="Compact"/>
              <w:jc w:val="left"/>
            </w:pPr>
            <w:r>
              <w:t xml:space="preserve">PSAP</w:t>
            </w:r>
          </w:p>
        </w:tc>
        <w:tc>
          <w:tcPr/>
          <w:p>
            <w:pPr>
              <w:pStyle w:val="Compact"/>
              <w:jc w:val="left"/>
            </w:pPr>
            <w:r>
              <w:t xml:space="preserve">Provision pour sinistres à payer.</w:t>
            </w:r>
          </w:p>
        </w:tc>
      </w:tr>
      <w:tr>
        <w:tc>
          <w:tcPr/>
          <w:p>
            <w:pPr>
              <w:pStyle w:val="Compact"/>
              <w:jc w:val="left"/>
            </w:pPr>
            <w:r>
              <w:t xml:space="preserve">S/C</w:t>
            </w:r>
          </w:p>
        </w:tc>
        <w:tc>
          <w:tcPr/>
          <w:p>
            <w:pPr>
              <w:pStyle w:val="Compact"/>
              <w:jc w:val="left"/>
            </w:pPr>
            <w:r>
              <w:t xml:space="preserve">Rapport sinistres sur cotisations.</w:t>
            </w:r>
          </w:p>
        </w:tc>
      </w:tr>
      <w:tr>
        <w:tc>
          <w:tcPr/>
          <w:p>
            <w:pPr>
              <w:pStyle w:val="Compact"/>
              <w:jc w:val="left"/>
            </w:pPr>
            <w:r>
              <w:t xml:space="preserve">Table de mortalité</w:t>
            </w:r>
          </w:p>
        </w:tc>
        <w:tc>
          <w:tcPr/>
          <w:p>
            <w:pPr>
              <w:pStyle w:val="Compact"/>
              <w:jc w:val="left"/>
            </w:pPr>
            <w:r>
              <w:t xml:space="preserve">Tableau donnant, pour chaque âge, la probabilité de décéder dans l’année.</w:t>
            </w:r>
          </w:p>
        </w:tc>
      </w:tr>
      <w:tr>
        <w:tc>
          <w:tcPr/>
          <w:p>
            <w:pPr>
              <w:pStyle w:val="Compact"/>
              <w:jc w:val="left"/>
            </w:pPr>
            <w:r>
              <w:t xml:space="preserve">Taux technique</w:t>
            </w:r>
          </w:p>
        </w:tc>
        <w:tc>
          <w:tcPr/>
          <w:p>
            <w:pPr>
              <w:pStyle w:val="Compact"/>
              <w:jc w:val="left"/>
            </w:pPr>
            <w:r>
              <w:t xml:space="preserve">Taux d’intérêt utilisé pour actualiser les engagements. Plafonné à 3,5 % par l’art. 338 du Code CIMA.</w:t>
            </w:r>
          </w:p>
        </w:tc>
      </w:tr>
      <w:tr>
        <w:tc>
          <w:tcPr/>
          <w:p>
            <w:pPr>
              <w:pStyle w:val="Compact"/>
              <w:jc w:val="left"/>
            </w:pPr>
            <w:r>
              <w:t xml:space="preserve">UEMOA</w:t>
            </w:r>
          </w:p>
        </w:tc>
        <w:tc>
          <w:tcPr/>
          <w:p>
            <w:pPr>
              <w:pStyle w:val="Compact"/>
              <w:jc w:val="left"/>
            </w:pPr>
            <w:r>
              <w:t xml:space="preserve">Union Économique et Monétaire Ouest Africaine.</w:t>
            </w:r>
          </w:p>
        </w:tc>
      </w:tr>
    </w:tbl>
    <w:bookmarkEnd w:id="48"/>
    <w:bookmarkStart w:id="49" w:name="sources"/>
    <w:p>
      <w:pPr>
        <w:pStyle w:val="Heading1"/>
      </w:pPr>
      <w:r>
        <w:t xml:space="preserve">10. Sources</w:t>
      </w:r>
    </w:p>
    <w:p>
      <w:pPr>
        <w:pStyle w:val="FirstParagraph"/>
      </w:pPr>
      <w:r>
        <w:rPr>
          <w:bCs/>
          <w:b/>
        </w:rPr>
        <w:t xml:space="preserve">Cadre réglementaire</w:t>
      </w:r>
    </w:p>
    <w:p>
      <w:pPr>
        <w:numPr>
          <w:ilvl w:val="0"/>
          <w:numId w:val="1016"/>
        </w:numPr>
        <w:pStyle w:val="Compact"/>
      </w:pPr>
      <w:r>
        <w:t xml:space="preserve">AIRMS – Documents publics (Règlement 07/2009, Règlement d’exécution 004/2022, PCMS, arrêté 2023) : https://www.airms-ci.com/documents-publics-1</w:t>
      </w:r>
    </w:p>
    <w:p>
      <w:pPr>
        <w:numPr>
          <w:ilvl w:val="0"/>
          <w:numId w:val="1016"/>
        </w:numPr>
        <w:pStyle w:val="Compact"/>
      </w:pPr>
      <w:r>
        <w:t xml:space="preserve">AIRMS – AG mixte du FPPN (15 juin 2023) : https://www.airms-ci.com/post/assemblee-generale-mixte-du-fonds-de-pr%C3%A9voyance-de-la-police-nationale-fppn</w:t>
      </w:r>
    </w:p>
    <w:p>
      <w:pPr>
        <w:numPr>
          <w:ilvl w:val="0"/>
          <w:numId w:val="1016"/>
        </w:numPr>
        <w:pStyle w:val="Compact"/>
      </w:pPr>
      <w:r>
        <w:t xml:space="preserve">AIRMS – Rappel des obligations relatives à l’AG ordinaire : https://www.airms-ci.com/post/rappel-des-obligations-relatives-%C3%A0-la-tenue-de-l-assembl%C3%A9e-g%C3%A9n%C3%A9rale-ordinaire</w:t>
      </w:r>
    </w:p>
    <w:p>
      <w:pPr>
        <w:numPr>
          <w:ilvl w:val="0"/>
          <w:numId w:val="1016"/>
        </w:numPr>
        <w:pStyle w:val="Compact"/>
      </w:pPr>
      <w:r>
        <w:t xml:space="preserve">UEMOA – Bulletin officiel n°113 (2e trimestre 2022) : https://www.uemoa.int/sites/default/files/bibliotheque/bulletin-officiel-ndeg113-de-luemoa-deuxieme-trimestre-2022.pdf</w:t>
      </w:r>
    </w:p>
    <w:p>
      <w:pPr>
        <w:numPr>
          <w:ilvl w:val="0"/>
          <w:numId w:val="1016"/>
        </w:numPr>
        <w:pStyle w:val="Compact"/>
      </w:pPr>
      <w:r>
        <w:t xml:space="preserve">Règlement n°07/2009/CM/UEMOA : https://p4h.world/en/documents/uemoa-regulation-on-social-mutuality/</w:t>
      </w:r>
    </w:p>
    <w:p>
      <w:pPr>
        <w:numPr>
          <w:ilvl w:val="0"/>
          <w:numId w:val="1016"/>
        </w:numPr>
        <w:pStyle w:val="Compact"/>
      </w:pPr>
      <w:r>
        <w:t xml:space="preserve">Ordonnance n°2024-1043 (FOMUS-CI) : https://agp.africanlii.org/en/akn/ci/act/ord/2024/1043/fra@2025-03-21</w:t>
      </w:r>
    </w:p>
    <w:p>
      <w:pPr>
        <w:numPr>
          <w:ilvl w:val="0"/>
          <w:numId w:val="1016"/>
        </w:numPr>
        <w:pStyle w:val="Compact"/>
      </w:pPr>
      <w:r>
        <w:t xml:space="preserve">Code CIMA, art. 338 : https://cima-afrique.org/wp-content/code-cima/fr/Article338Tablesdemortaliteettau.html</w:t>
      </w:r>
    </w:p>
    <w:p>
      <w:pPr>
        <w:numPr>
          <w:ilvl w:val="0"/>
          <w:numId w:val="1016"/>
        </w:numPr>
        <w:pStyle w:val="Compact"/>
      </w:pPr>
      <w:r>
        <w:t xml:space="preserve">Code CIMA, art. 334-4 : https://cima-afrique.org/wp-content/code-cima/fr/Article334-4Provisionsmathematiq.html</w:t>
      </w:r>
    </w:p>
    <w:p>
      <w:pPr>
        <w:numPr>
          <w:ilvl w:val="0"/>
          <w:numId w:val="1016"/>
        </w:numPr>
        <w:pStyle w:val="Compact"/>
      </w:pPr>
      <w:r>
        <w:t xml:space="preserve">Code CIMA, art. 334-8 : https://cima-afrique.org/wp-content/code-cima/fr/Article334-8Provisionstechniques.html</w:t>
      </w:r>
    </w:p>
    <w:p>
      <w:pPr>
        <w:numPr>
          <w:ilvl w:val="0"/>
          <w:numId w:val="1016"/>
        </w:numPr>
        <w:pStyle w:val="Compact"/>
      </w:pPr>
      <w:r>
        <w:t xml:space="preserve">Code CIMA, art. 337-2 : https://cima-afrique.org/wp-content/code-cima/fr/Article337-2Montantminimaldelama.html</w:t>
      </w:r>
    </w:p>
    <w:p>
      <w:pPr>
        <w:numPr>
          <w:ilvl w:val="0"/>
          <w:numId w:val="1016"/>
        </w:numPr>
        <w:pStyle w:val="Compact"/>
      </w:pPr>
      <w:r>
        <w:t xml:space="preserve">CIMA – Bulletin officiel 15e édition (Règlement n°0006/CIMA/PCMA/PCE/2012) : https://cima-afrique.org/wp-content/uploads/2018/01/BULLETIN-OFFICIEL-15e-%C3%A9dition.pdf</w:t>
      </w:r>
    </w:p>
    <w:p>
      <w:pPr>
        <w:pStyle w:val="FirstParagraph"/>
      </w:pPr>
      <w:r>
        <w:rPr>
          <w:bCs/>
          <w:b/>
        </w:rPr>
        <w:t xml:space="preserve">FPPN</w:t>
      </w:r>
    </w:p>
    <w:p>
      <w:pPr>
        <w:numPr>
          <w:ilvl w:val="0"/>
          <w:numId w:val="1017"/>
        </w:numPr>
        <w:pStyle w:val="Compact"/>
      </w:pPr>
      <w:r>
        <w:t xml:space="preserve">Mémoire DESS 2004 – création : https://www.memoireonline.com/02/13/6909/m_Problematique-du-fonds-de-prevoyance-de-la-Police-Nationale-de-Cte-d-Ivoire0.html</w:t>
      </w:r>
    </w:p>
    <w:p>
      <w:pPr>
        <w:numPr>
          <w:ilvl w:val="0"/>
          <w:numId w:val="1017"/>
        </w:numPr>
        <w:pStyle w:val="Compact"/>
      </w:pPr>
      <w:r>
        <w:t xml:space="preserve">Mémoire DESS 2004 – membres : https://www.memoireonline.com/02/13/6909/m_Problematique-du-fonds-de-prevoyance-de-la-Police-Nationale-de-Cte-d-Ivoire20.html</w:t>
      </w:r>
    </w:p>
    <w:p>
      <w:pPr>
        <w:numPr>
          <w:ilvl w:val="0"/>
          <w:numId w:val="1017"/>
        </w:numPr>
        <w:pStyle w:val="Compact"/>
      </w:pPr>
      <w:r>
        <w:t xml:space="preserve">Abidjan.net – AGE et textes UEMOA : https://news.abidjan.net/articles/629780/ouverture-dune-assemblee-generale-du-fonds-de-prevoyance-de-la-police-nationale-a-abidjan</w:t>
      </w:r>
    </w:p>
    <w:p>
      <w:pPr>
        <w:numPr>
          <w:ilvl w:val="0"/>
          <w:numId w:val="1017"/>
        </w:numPr>
        <w:pStyle w:val="Compact"/>
      </w:pPr>
      <w:r>
        <w:t xml:space="preserve">AllAfrica – AG du 17 avril 2026 : https://fr.allafrica.com/stories/202604170636.html</w:t>
      </w:r>
    </w:p>
    <w:p>
      <w:pPr>
        <w:numPr>
          <w:ilvl w:val="0"/>
          <w:numId w:val="1017"/>
        </w:numPr>
        <w:pStyle w:val="Compact"/>
      </w:pPr>
      <w:r>
        <w:t xml:space="preserve">AIP – mandats prorogés jusqu’en 2028 : https://www.aip.ci/349346/cote-divoire-aip-le-mandat-des-instances-dirigeantes-du-fppn-proroge-jusquen-2028/</w:t>
      </w:r>
    </w:p>
    <w:p>
      <w:pPr>
        <w:numPr>
          <w:ilvl w:val="0"/>
          <w:numId w:val="1017"/>
        </w:numPr>
        <w:pStyle w:val="Compact"/>
      </w:pPr>
      <w:r>
        <w:t xml:space="preserve">AIP – bilan santé : https://www.aip.ci/cote-divoire-aip-le-fppn-dresse-le-bilan-de-ses-acquis-pour-des-soins-optimaux-en-faveur-de-ses-agents-communique/</w:t>
      </w:r>
    </w:p>
    <w:p>
      <w:pPr>
        <w:numPr>
          <w:ilvl w:val="0"/>
          <w:numId w:val="1017"/>
        </w:numPr>
        <w:pStyle w:val="Compact"/>
      </w:pPr>
      <w:r>
        <w:t xml:space="preserve">AllAfrica – paiement des retraités (décembre 2025) : https://fr.allafrica.com/stories/202512240564.html</w:t>
      </w:r>
    </w:p>
    <w:p>
      <w:pPr>
        <w:numPr>
          <w:ilvl w:val="0"/>
          <w:numId w:val="1017"/>
        </w:numPr>
        <w:pStyle w:val="Compact"/>
      </w:pPr>
      <w:r>
        <w:t xml:space="preserve">Fraternité Matin – Plan Épargne Plus : https://www.fratmat.info/article/208811/societe/fonds-de-prevoyance-de-la-police-nationale-44-mutualistes-recoivent-plus-de-166-millions-fcfa</w:t>
      </w:r>
    </w:p>
    <w:p>
      <w:pPr>
        <w:numPr>
          <w:ilvl w:val="0"/>
          <w:numId w:val="1017"/>
        </w:numPr>
        <w:pStyle w:val="Compact"/>
      </w:pPr>
      <w:r>
        <w:t xml:space="preserve">Abidjan.net – créance de 3 milliards sur l’État : https://news.abidjan.net/articles/315018/police-nationale-le-fonds-de-prevoyance-reclame-3-milliards-a-letat</w:t>
      </w:r>
    </w:p>
    <w:p>
      <w:pPr>
        <w:pStyle w:val="FirstParagraph"/>
      </w:pPr>
      <w:r>
        <w:rPr>
          <w:bCs/>
          <w:b/>
        </w:rPr>
        <w:t xml:space="preserve">Limite.</w:t>
      </w:r>
      <w:r>
        <w:t xml:space="preserve"> </w:t>
      </w:r>
      <w:r>
        <w:t xml:space="preserve">Les textes intégraux du Règlement d’exécution 004/2022 et de la Décision 05/2022 n’ont pas pu être lus en ligne. Les ratios prudentiels chiffrés applicables aux mutuelles sociales sont donc à relever directement dans ces textes avant tout calcul.</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FPPN – Dossier de préparation de la réunion de lancement</dc:title>
  <dc:creator/>
  <cp:keywords/>
  <dcterms:created xsi:type="dcterms:W3CDTF">2026-10-13T08:23:30Z</dcterms:created>
  <dcterms:modified xsi:type="dcterms:W3CDTF">2026-10-13T08:23:30Z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du 13 octobre 2026</vt:lpwstr>
  </property>
  <property fmtid="{D5CDD505-2E9C-101B-9397-08002B2CF9AE}" pid="3" name="subtitle">
    <vt:lpwstr>Volet actuariel de l’audit comptable et financier 2020 – 31 août 2026</vt:lpwstr>
  </property>
</Properties>
</file>