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elvetica" w:hAnsi="Helvetica"/>
          <w:b/>
          <w:color w:val="112A40"/>
          <w:sz w:val="30"/>
        </w:rPr>
        <w:t>FPPN : note interne sur l'entretien sinistres et prestations</w:t>
      </w:r>
    </w:p>
    <w:p>
      <w:r>
        <w:rPr>
          <w:b/>
          <w:i w:val="0"/>
        </w:rPr>
        <w:t>Document interne Adenka. Confidentiel. Ne pas diffuser au client.</w:t>
      </w:r>
    </w:p>
    <w:p>
      <w:r>
        <w:rPr>
          <w:b w:val="0"/>
          <w:i w:val="0"/>
        </w:rPr>
        <w:t>Entretien du 16 octobre 2026, de 11h05 à 12h43, avec M. Soumahoro, chef de service Assurance (sinistres et prestations). Équipe Adenka : Issa Bamba, Jean-Noël Sialou, Myriam Coulibaly.</w:t>
      </w:r>
    </w:p>
    <w:p>
      <w:r>
        <w:rPr>
          <w:b w:val="0"/>
          <w:i/>
        </w:rPr>
        <w:t>Objet : consigner, de façon factuelle et neutre, les propos sensibles tenus pendant l'entretien et non repris dans le compte rendu partageable. Les propos sont ceux de l'interlocuteur. Ils n'ont pas été vérifiés.</w:t>
      </w:r>
    </w:p>
    <w:p>
      <w:r>
        <w:rPr>
          <w:rFonts w:ascii="Helvetica" w:hAnsi="Helvetica"/>
          <w:b/>
          <w:color w:val="EFAC62"/>
          <w:sz w:val="24"/>
        </w:rPr>
        <w:t>1. Revalorisation des prestations décès et relations avec l'ancienne direction</w:t>
      </w:r>
    </w:p>
    <w:p>
      <w:pPr>
        <w:pStyle w:val="ListBullet"/>
      </w:pPr>
      <w:r>
        <w:t>L'interlocuteur indique qu'en 2021 la direction générale alors en place a décidé de revenir à l'ancien barème forfaitaire par corps, en vigueur de 2001 à 2013.</w:t>
      </w:r>
    </w:p>
    <w:p>
      <w:pPr>
        <w:pStyle w:val="ListBullet"/>
      </w:pPr>
      <w:r>
        <w:t>Il déclare avoir fait des simulations montrant une sinistralité d'environ 21 %, et avoir demandé une revalorisation en réunion de direction puis devant le conseil d'administration, sans être suivi.</w:t>
      </w:r>
    </w:p>
    <w:p>
      <w:pPr>
        <w:pStyle w:val="ListBullet"/>
      </w:pPr>
      <w:r>
        <w:t>Selon lui, la décision est restée bloquée au niveau de la direction générale et n'a pas été présentée au conseil d'administration pour approbation. Point à vérifier dans les procès-verbaux du conseil.</w:t>
      </w:r>
    </w:p>
    <w:p>
      <w:pPr>
        <w:pStyle w:val="ListBullet"/>
      </w:pPr>
      <w:r>
        <w:t>En 2023, ses propositions de frais funéraires ont été réduites successivement (1 500 000, 1 000 000, 700 000, 500 000 FCFA), jusqu'au forfait retenu de 300 000 FCFA.</w:t>
      </w:r>
    </w:p>
    <w:p>
      <w:pPr>
        <w:pStyle w:val="ListBullet"/>
      </w:pPr>
      <w:r>
        <w:t>Il indique que les refus n'ont pas été motivés par des chiffres, mais par l'argument que les fonds ne suffisaient pas.</w:t>
      </w:r>
    </w:p>
    <w:p>
      <w:pPr>
        <w:pStyle w:val="ListBullet"/>
      </w:pPr>
      <w:r>
        <w:t>Il fait état de tensions personnelles avec l'ancienne directrice générale, qui auraient conduit à son éloignement du service pendant une période. Durant cette période, l'intérim a été assuré par deux personnes, dont une commissaire à la retraite.</w:t>
      </w:r>
    </w:p>
    <w:p>
      <w:pPr>
        <w:pStyle w:val="ListBullet"/>
      </w:pPr>
      <w:r>
        <w:t>Il déclare que ces divergences lui ont « coûté beaucoup de choses » sur le plan professionnel.</w:t>
      </w:r>
    </w:p>
    <w:p>
      <w:r>
        <w:rPr>
          <w:rFonts w:ascii="Helvetica" w:hAnsi="Helvetica"/>
          <w:b/>
          <w:color w:val="EFAC62"/>
          <w:sz w:val="24"/>
        </w:rPr>
        <w:t>2. Rapport de contrôle de l'AIRMS</w:t>
      </w:r>
    </w:p>
    <w:p>
      <w:pPr>
        <w:pStyle w:val="ListBullet"/>
      </w:pPr>
      <w:r>
        <w:t>L'interlocuteur indique avoir averti la direction d'un risque de sanction par l'AIRMS. Une mission de contrôle de trois à quatre mois a ensuite eu lieu.</w:t>
      </w:r>
    </w:p>
    <w:p>
      <w:pPr>
        <w:pStyle w:val="ListBullet"/>
      </w:pPr>
      <w:r>
        <w:t>Selon lui, le rapport de l'AIRMS adressé au président du conseil d'administration aurait été récupéré par l'ancienne directrice générale sans que le PCA en ait eu connaissance. La nouvelle direction l'a ensuite demandé officiellement à l'AIRMS.</w:t>
      </w:r>
    </w:p>
    <w:p>
      <w:pPr>
        <w:pStyle w:val="ListBullet"/>
      </w:pPr>
      <w:r>
        <w:t>Un redressement est en cours avec la nouvelle direction générale, arrivée il y a environ un mois.</w:t>
      </w:r>
    </w:p>
    <w:p>
      <w:pPr>
        <w:pStyle w:val="ListBullet"/>
      </w:pPr>
      <w:r>
        <w:t>À vérifier : date et destinataires du rapport, conclusions, plan de redressement (demande n°35).</w:t>
      </w:r>
    </w:p>
    <w:p>
      <w:r>
        <w:rPr>
          <w:rFonts w:ascii="Helvetica" w:hAnsi="Helvetica"/>
          <w:b/>
          <w:color w:val="EFAC62"/>
          <w:sz w:val="24"/>
        </w:rPr>
        <w:t>3. Fraude</w:t>
      </w:r>
    </w:p>
    <w:p>
      <w:pPr>
        <w:pStyle w:val="ListBullet"/>
      </w:pPr>
      <w:r>
        <w:t>Fraude externe citée : une concubine a produit un acte de mariage établi après le décès. Le dossier a fait l'objet d'investigations.</w:t>
      </w:r>
    </w:p>
    <w:p>
      <w:pPr>
        <w:pStyle w:val="ListBullet"/>
      </w:pPr>
      <w:r>
        <w:t>Fraude interne citée : un collaborateur a laissé passer un dossier qui n'aurait pas dû l'être.</w:t>
      </w:r>
    </w:p>
    <w:p>
      <w:pPr>
        <w:pStyle w:val="ListBullet"/>
      </w:pPr>
      <w:r>
        <w:t>Cas récent cité : un dossier présenté pour 1 700 000 FCFA au lieu de 600 000 FCFA pour le décès de l'épouse d'un sous-officier (montants à confirmer).</w:t>
      </w:r>
    </w:p>
    <w:p>
      <w:pPr>
        <w:pStyle w:val="ListBullet"/>
      </w:pPr>
      <w:r>
        <w:t>Risques cités sur le volet médical : arrangements avec des médecins, surprescription, surfacturation par les prestataires, faux bénéficiaires.</w:t>
      </w:r>
    </w:p>
    <w:p>
      <w:pPr>
        <w:pStyle w:val="ListBullet"/>
      </w:pPr>
      <w:r>
        <w:t>À vérifier : liste des cas détectés et suites données (demande n°39).</w:t>
      </w:r>
    </w:p>
    <w:p>
      <w:r>
        <w:rPr>
          <w:rFonts w:ascii="Helvetica" w:hAnsi="Helvetica"/>
          <w:b/>
          <w:color w:val="EFAC62"/>
          <w:sz w:val="24"/>
        </w:rPr>
        <w:t>4. Gouvernance, organisation et climat de travail</w:t>
      </w:r>
    </w:p>
    <w:p>
      <w:pPr>
        <w:pStyle w:val="ListBullet"/>
      </w:pPr>
      <w:r>
        <w:t>L'interlocuteur décrit une organisation très hiérarchique, où il est difficile de contredire la direction, et où les profils techniques civils sont peu écoutés.</w:t>
      </w:r>
    </w:p>
    <w:p>
      <w:pPr>
        <w:pStyle w:val="ListBullet"/>
      </w:pPr>
      <w:r>
        <w:t>Il indique que des dossiers ont été confiés à des personnes non spécialisées (y compris un chauffeur) sous l'ancienne direction.</w:t>
      </w:r>
    </w:p>
    <w:p>
      <w:pPr>
        <w:pStyle w:val="ListBullet"/>
      </w:pPr>
      <w:r>
        <w:t>Il considère que le volet médical est dirigé selon une logique médicale et non assurantielle, sans contrôle des dossiers.</w:t>
      </w:r>
    </w:p>
    <w:p>
      <w:pPr>
        <w:pStyle w:val="ListBullet"/>
      </w:pPr>
      <w:r>
        <w:t>Il déclare avoir été associé, avec le conseiller juridique, aux travaux de préparation de l'arrivée de la nouvelle direction.</w:t>
      </w:r>
    </w:p>
    <w:p>
      <w:pPr>
        <w:pStyle w:val="ListBullet"/>
      </w:pPr>
      <w:r>
        <w:t>Il exprime une attente forte vis-à-vis de la mission : structurer l'organisation et protéger le travail des professionnels.</w:t>
      </w:r>
    </w:p>
    <w:p>
      <w:r>
        <w:rPr>
          <w:rFonts w:ascii="Helvetica" w:hAnsi="Helvetica"/>
          <w:b/>
          <w:color w:val="EFAC62"/>
          <w:sz w:val="24"/>
        </w:rPr>
        <w:t>5. Points d'attention pour l'équipe</w:t>
      </w:r>
    </w:p>
    <w:p>
      <w:pPr>
        <w:pStyle w:val="ListBullet"/>
      </w:pPr>
      <w:r>
        <w:t>Ces propos émanent d'une seule personne, en conflit déclaré avec l'ancienne direction. Ils doivent être recoupés par des pièces (procès-verbaux, rapport AIRMS, décisions) avant tout usage.</w:t>
      </w:r>
    </w:p>
    <w:p>
      <w:pPr>
        <w:pStyle w:val="ListBullet"/>
      </w:pPr>
      <w:r>
        <w:t>Ne pas reprendre ces éléments dans un document destiné au client sans validation de la direction de mission.</w:t>
      </w:r>
    </w:p>
    <w:p>
      <w:pPr>
        <w:pStyle w:val="ListBullet"/>
      </w:pPr>
      <w:r>
        <w:t>Points à recouper en priorité : circuit de décision sur la revalorisation (2021-2023), réception du rapport AIRMS, cas de fraude cités.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