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1F4D78"/>
          <w:sz w:val="60"/>
        </w:rPr>
        <w:t>NEW SOFT CUBE</w:t>
      </w:r>
    </w:p>
    <w:p>
      <w:pPr>
        <w:jc w:val="center"/>
      </w:pPr>
      <w:r>
        <w:rPr>
          <w:rFonts w:ascii="Calibri" w:hAnsi="Calibri"/>
          <w:b w:val="0"/>
          <w:i w:val="0"/>
          <w:color w:val="2E74B5"/>
          <w:sz w:val="36"/>
        </w:rPr>
        <w:t>A Structural Compression Algebra</w:t>
      </w:r>
    </w:p>
    <w:p>
      <w:pPr>
        <w:spacing w:after="480"/>
        <w:jc w:val="center"/>
      </w:pPr>
      <w:r>
        <w:rPr>
          <w:rFonts w:ascii="Calibri" w:hAnsi="Calibri"/>
          <w:b w:val="0"/>
          <w:i/>
          <w:color w:val="5A6470"/>
          <w:sz w:val="22"/>
        </w:rPr>
        <w:t>Definitions  Theorems  Proofs  Encoders  Benchmarks  Failures  and Research Boundary</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pPr>
              <w:spacing w:after="60"/>
            </w:pPr>
            <w:r>
              <w:rPr>
                <w:rFonts w:ascii="Calibri" w:hAnsi="Calibri"/>
                <w:b/>
                <w:i w:val="0"/>
                <w:color w:val="1F4D78"/>
                <w:sz w:val="22"/>
              </w:rPr>
              <w:t>Document status</w:t>
            </w:r>
          </w:p>
          <w:p>
            <w:pPr>
              <w:spacing w:after="0"/>
            </w:pPr>
            <w:r>
              <w:rPr>
                <w:rFonts w:ascii="Calibri" w:hAnsi="Calibri"/>
                <w:b w:val="0"/>
                <w:i w:val="0"/>
                <w:sz w:val="20"/>
              </w:rPr>
              <w:t>Comprehensive technical synthesis of the NSC project through 18 August 2026  It distinguishes proved mathematics from numerical tests representational equivalence architectural hypotheses and unverified physical claims</w:t>
            </w:r>
          </w:p>
        </w:tc>
      </w:tr>
    </w:tbl>
    <w:p>
      <w:pPr>
        <w:spacing w:after="40"/>
      </w:pPr>
    </w:p>
    <w:p>
      <w:pPr>
        <w:spacing w:before="1000"/>
        <w:jc w:val="center"/>
      </w:pPr>
      <w:r>
        <w:rPr>
          <w:rFonts w:ascii="Calibri" w:hAnsi="Calibri"/>
          <w:b/>
          <w:i w:val="0"/>
          <w:sz w:val="26"/>
        </w:rPr>
        <w:t>Siamak</w:t>
      </w:r>
    </w:p>
    <w:p>
      <w:pPr>
        <w:jc w:val="center"/>
      </w:pPr>
      <w:r>
        <w:rPr>
          <w:rFonts w:ascii="Calibri" w:hAnsi="Calibri"/>
          <w:b w:val="0"/>
          <w:i w:val="0"/>
          <w:color w:val="5A6470"/>
          <w:sz w:val="22"/>
        </w:rPr>
        <w:t>Independent Research</w:t>
      </w:r>
    </w:p>
    <w:p>
      <w:pPr>
        <w:jc w:val="center"/>
      </w:pPr>
      <w:r>
        <w:rPr>
          <w:rFonts w:ascii="Calibri" w:hAnsi="Calibri"/>
          <w:b w:val="0"/>
          <w:i w:val="0"/>
          <w:color w:val="5A6470"/>
          <w:sz w:val="20"/>
        </w:rPr>
        <w:t>Version 1.0  |  18 August 2026</w:t>
      </w:r>
    </w:p>
    <w:p>
      <w:r>
        <w:br w:type="page"/>
      </w:r>
    </w:p>
    <w:p>
      <w:pPr>
        <w:pStyle w:val="Heading1"/>
      </w:pPr>
      <w:r>
        <w:t>Abstract</w:t>
      </w:r>
    </w:p>
    <w:p>
      <w:pPr>
        <w:spacing w:after="120" w:line="300" w:lineRule="auto"/>
      </w:pPr>
      <w:r>
        <w:rPr>
          <w:rFonts w:ascii="Calibri" w:hAnsi="Calibri"/>
          <w:b w:val="0"/>
          <w:i w:val="0"/>
          <w:sz w:val="22"/>
        </w:rPr>
        <w:t>New Soft Cube or NSC is a research program centered on structural and representational compression  Its primitive object is a relational transformation Delta rather than a particle energy memory register or physical time  In its finite dimensional linear realization a transformation is generated by a matrix G through U of Delta equal to exp of Delta G  This compact form yields exact composition conservation determinant and two dimensional closure theorems under explicit assumptions</w:t>
      </w:r>
    </w:p>
    <w:p>
      <w:pPr>
        <w:spacing w:after="120" w:line="300" w:lineRule="auto"/>
      </w:pPr>
      <w:r>
        <w:rPr>
          <w:rFonts w:ascii="Calibri" w:hAnsi="Calibri"/>
          <w:b w:val="0"/>
          <w:i w:val="0"/>
          <w:sz w:val="22"/>
        </w:rPr>
        <w:t>The same algebra can represent oscillatory optical propagation and hyperbolic one dimensional relativistic transport  These are rigorous representations of known mathematics and physics  They do not establish NSC as a new fundamental theory  Synthetic benchmark work found strong compactness and sample efficiency in a hidden absorption task  A public nanophotonics benchmark then exposed an important limit  compact constrained exponential models compressed strongly but lost predictive fidelity while a less constrained polynomial surrogate performed well</w:t>
      </w:r>
    </w:p>
    <w:p>
      <w:pPr>
        <w:spacing w:after="120" w:line="300" w:lineRule="auto"/>
      </w:pPr>
      <w:r>
        <w:rPr>
          <w:rFonts w:ascii="Calibri" w:hAnsi="Calibri"/>
          <w:b w:val="0"/>
          <w:i w:val="0"/>
          <w:sz w:val="22"/>
        </w:rPr>
        <w:t>This monograph consolidates the full formal core the radical Delta series the Möbius correction the optical and relativistic encoders the black hole and Higgs hypotheses the benchmark ledger the compression results and all important negative findings  Its governing rule is that compression success cannot be restated as physical proof</w:t>
      </w:r>
    </w:p>
    <w:p>
      <w:pPr>
        <w:pStyle w:val="Heading1"/>
      </w:pPr>
      <w:r>
        <w:t>1  Research Objective and Claim Taxonomy</w:t>
      </w:r>
    </w:p>
    <w:p>
      <w:pPr>
        <w:pStyle w:val="Heading2"/>
      </w:pPr>
      <w:r>
        <w:t>1 1  Primary objective</w:t>
      </w:r>
    </w:p>
    <w:p>
      <w:pPr>
        <w:spacing w:after="120" w:line="300" w:lineRule="auto"/>
      </w:pPr>
      <w:r>
        <w:rPr>
          <w:rFonts w:ascii="Calibri" w:hAnsi="Calibri"/>
          <w:b w:val="0"/>
          <w:i w:val="0"/>
          <w:sz w:val="22"/>
        </w:rPr>
        <w:t>The primary practical objective of NSC is to replace a larger description with a smaller reusable algebra while preserving the information required for a declared task  Relevant resources include parameter count training samples computation time memory description length and the number of separate domain specific constructions</w:t>
      </w:r>
    </w:p>
    <w:p>
      <w:pPr>
        <w:spacing w:before="100" w:after="100"/>
        <w:jc w:val="center"/>
      </w:pPr>
      <w:r>
        <w:drawing>
          <wp:inline xmlns:a="http://schemas.openxmlformats.org/drawingml/2006/main" xmlns:pic="http://schemas.openxmlformats.org/drawingml/2006/picture">
            <wp:extent cx="2757830" cy="1212494"/>
            <wp:docPr id="1" name="Picture 1"/>
            <wp:cNvGraphicFramePr>
              <a:graphicFrameLocks noChangeAspect="1"/>
            </wp:cNvGraphicFramePr>
            <a:graphic>
              <a:graphicData uri="http://schemas.openxmlformats.org/drawingml/2006/picture">
                <pic:pic>
                  <pic:nvPicPr>
                    <pic:cNvPr id="0" name="8ccee57daad6b74358ccabec27daa58f7dab08e187bdc20488d19bec33427d4b.png"/>
                    <pic:cNvPicPr/>
                  </pic:nvPicPr>
                  <pic:blipFill>
                    <a:blip r:embed="rId11"/>
                    <a:stretch>
                      <a:fillRect/>
                    </a:stretch>
                  </pic:blipFill>
                  <pic:spPr>
                    <a:xfrm>
                      <a:off x="0" y="0"/>
                      <a:ext cx="2757830" cy="1212494"/>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3661257" cy="497283"/>
            <wp:docPr id="2" name="Picture 2"/>
            <wp:cNvGraphicFramePr>
              <a:graphicFrameLocks noChangeAspect="1"/>
            </wp:cNvGraphicFramePr>
            <a:graphic>
              <a:graphicData uri="http://schemas.openxmlformats.org/drawingml/2006/picture">
                <pic:pic>
                  <pic:nvPicPr>
                    <pic:cNvPr id="0" name="21baa0e39221984eea3a041b49d00b603c57a94499ac26bd703c96e09ec292af.png"/>
                    <pic:cNvPicPr/>
                  </pic:nvPicPr>
                  <pic:blipFill>
                    <a:blip r:embed="rId12"/>
                    <a:stretch>
                      <a:fillRect/>
                    </a:stretch>
                  </pic:blipFill>
                  <pic:spPr>
                    <a:xfrm>
                      <a:off x="0" y="0"/>
                      <a:ext cx="3661257" cy="497283"/>
                    </a:xfrm>
                    <a:prstGeom prst="rect"/>
                  </pic:spPr>
                </pic:pic>
              </a:graphicData>
            </a:graphic>
          </wp:inline>
        </w:drawing>
      </w:r>
    </w:p>
    <w:p>
      <w:pPr>
        <w:spacing w:after="120" w:line="300" w:lineRule="auto"/>
      </w:pPr>
      <w:r>
        <w:rPr>
          <w:rFonts w:ascii="Calibri" w:hAnsi="Calibri"/>
          <w:b w:val="0"/>
          <w:i w:val="0"/>
          <w:sz w:val="22"/>
        </w:rPr>
        <w:t>Compression and fidelity are separate axes  A tiny model with poor blind accuracy is a compression result but an application failure  A faithful model that is merely a renamed standard solver is representational equivalence but not a compression advantage</w:t>
      </w:r>
    </w:p>
    <w:p>
      <w:pPr>
        <w:pStyle w:val="Heading2"/>
      </w:pPr>
      <w:r>
        <w:t>1 2  Four evidence levels</w:t>
      </w:r>
    </w:p>
    <w:tbl>
      <w:tblPr>
        <w:tblW w:type="dxa" w:w="9360"/>
        <w:jc w:val="center"/>
        <w:tblLayout w:type="fixed"/>
        <w:tblLook w:firstColumn="1" w:firstRow="1" w:lastColumn="0" w:lastRow="0" w:noHBand="0" w:noVBand="1" w:val="04A0"/>
        <w:tblInd w:w="120" w:type="dxa"/>
      </w:tblPr>
      <w:tblGrid>
        <w:gridCol w:w="1700"/>
        <w:gridCol w:w="2700"/>
        <w:gridCol w:w="4960"/>
      </w:tblGrid>
      <w:tr>
        <w:tc>
          <w:tcPr>
            <w:tcW w:type="dxa" w:w="1700"/>
            <w:shd w:fill="E8EEF5"/>
            <w:tcMar>
              <w:top w:w="80" w:type="dxa"/>
              <w:start w:w="120" w:type="dxa"/>
              <w:bottom w:w="80" w:type="dxa"/>
              <w:end w:w="120" w:type="dxa"/>
            </w:tcMar>
            <w:vAlign w:val="center"/>
          </w:tcPr>
          <w:p>
            <w:pPr>
              <w:spacing w:after="0"/>
            </w:pPr>
            <w:r>
              <w:rPr>
                <w:rFonts w:ascii="Calibri" w:hAnsi="Calibri"/>
                <w:b/>
                <w:i w:val="0"/>
                <w:color w:val="1F4D78"/>
                <w:sz w:val="18"/>
              </w:rPr>
              <w:t>Label</w:t>
            </w:r>
          </w:p>
        </w:tc>
        <w:tc>
          <w:tcPr>
            <w:tcW w:type="dxa" w:w="2700"/>
            <w:shd w:fill="E8EEF5"/>
            <w:tcMar>
              <w:top w:w="80" w:type="dxa"/>
              <w:start w:w="120" w:type="dxa"/>
              <w:bottom w:w="80" w:type="dxa"/>
              <w:end w:w="120" w:type="dxa"/>
            </w:tcMar>
            <w:vAlign w:val="center"/>
          </w:tcPr>
          <w:p>
            <w:pPr>
              <w:spacing w:after="0"/>
            </w:pPr>
            <w:r>
              <w:rPr>
                <w:rFonts w:ascii="Calibri" w:hAnsi="Calibri"/>
                <w:b/>
                <w:i w:val="0"/>
                <w:color w:val="1F4D78"/>
                <w:sz w:val="18"/>
              </w:rPr>
              <w:t>Meaning</w:t>
            </w:r>
          </w:p>
        </w:tc>
        <w:tc>
          <w:tcPr>
            <w:tcW w:type="dxa" w:w="4960"/>
            <w:shd w:fill="E8EEF5"/>
            <w:tcMar>
              <w:top w:w="80" w:type="dxa"/>
              <w:start w:w="120" w:type="dxa"/>
              <w:bottom w:w="80" w:type="dxa"/>
              <w:end w:w="120" w:type="dxa"/>
            </w:tcMar>
            <w:vAlign w:val="center"/>
          </w:tcPr>
          <w:p>
            <w:pPr>
              <w:spacing w:after="0"/>
            </w:pPr>
            <w:r>
              <w:rPr>
                <w:rFonts w:ascii="Calibri" w:hAnsi="Calibri"/>
                <w:b/>
                <w:i w:val="0"/>
                <w:color w:val="1F4D78"/>
                <w:sz w:val="18"/>
              </w:rPr>
              <w:t>Permitted claim</w:t>
            </w:r>
          </w:p>
        </w:tc>
      </w:tr>
      <w:tr>
        <w:tc>
          <w:tcPr>
            <w:tcW w:type="dxa" w:w="1700"/>
            <w:tcMar>
              <w:top w:w="80" w:type="dxa"/>
              <w:start w:w="120" w:type="dxa"/>
              <w:bottom w:w="80" w:type="dxa"/>
              <w:end w:w="120" w:type="dxa"/>
            </w:tcMar>
            <w:vAlign w:val="center"/>
          </w:tcPr>
          <w:p>
            <w:pPr>
              <w:spacing w:after="0"/>
            </w:pPr>
            <w:r>
              <w:rPr>
                <w:rFonts w:ascii="Calibri" w:hAnsi="Calibri"/>
                <w:b w:val="0"/>
                <w:i w:val="0"/>
                <w:sz w:val="18"/>
              </w:rPr>
              <w:t>MATH PROVED</w:t>
            </w:r>
          </w:p>
        </w:tc>
        <w:tc>
          <w:tcPr>
            <w:tcW w:type="dxa" w:w="2700"/>
            <w:tcMar>
              <w:top w:w="80" w:type="dxa"/>
              <w:start w:w="120" w:type="dxa"/>
              <w:bottom w:w="80" w:type="dxa"/>
              <w:end w:w="120" w:type="dxa"/>
            </w:tcMar>
            <w:vAlign w:val="center"/>
          </w:tcPr>
          <w:p>
            <w:pPr>
              <w:spacing w:after="0"/>
            </w:pPr>
            <w:r>
              <w:rPr>
                <w:rFonts w:ascii="Calibri" w:hAnsi="Calibri"/>
                <w:b w:val="0"/>
                <w:i w:val="0"/>
                <w:sz w:val="18"/>
              </w:rPr>
              <w:t>Derived from definitions and stated axioms</w:t>
            </w:r>
          </w:p>
        </w:tc>
        <w:tc>
          <w:tcPr>
            <w:tcW w:type="dxa" w:w="4960"/>
            <w:tcMar>
              <w:top w:w="80" w:type="dxa"/>
              <w:start w:w="120" w:type="dxa"/>
              <w:bottom w:w="80" w:type="dxa"/>
              <w:end w:w="120" w:type="dxa"/>
            </w:tcMar>
            <w:vAlign w:val="center"/>
          </w:tcPr>
          <w:p>
            <w:pPr>
              <w:spacing w:after="0"/>
            </w:pPr>
            <w:r>
              <w:rPr>
                <w:rFonts w:ascii="Calibri" w:hAnsi="Calibri"/>
                <w:b w:val="0"/>
                <w:i w:val="0"/>
                <w:sz w:val="18"/>
              </w:rPr>
              <w:t>Theorem within the declared representation</w:t>
            </w:r>
          </w:p>
        </w:tc>
      </w:tr>
      <w:tr>
        <w:tc>
          <w:tcPr>
            <w:tcW w:type="dxa" w:w="1700"/>
            <w:tcMar>
              <w:top w:w="80" w:type="dxa"/>
              <w:start w:w="120" w:type="dxa"/>
              <w:bottom w:w="80" w:type="dxa"/>
              <w:end w:w="120" w:type="dxa"/>
            </w:tcMar>
            <w:vAlign w:val="center"/>
          </w:tcPr>
          <w:p>
            <w:pPr>
              <w:spacing w:after="0"/>
            </w:pPr>
            <w:r>
              <w:rPr>
                <w:rFonts w:ascii="Calibri" w:hAnsi="Calibri"/>
                <w:b w:val="0"/>
                <w:i w:val="0"/>
                <w:sz w:val="18"/>
              </w:rPr>
              <w:t>INTERNAL PASS</w:t>
            </w:r>
          </w:p>
        </w:tc>
        <w:tc>
          <w:tcPr>
            <w:tcW w:type="dxa" w:w="2700"/>
            <w:tcMar>
              <w:top w:w="80" w:type="dxa"/>
              <w:start w:w="120" w:type="dxa"/>
              <w:bottom w:w="80" w:type="dxa"/>
              <w:end w:w="120" w:type="dxa"/>
            </w:tcMar>
            <w:vAlign w:val="center"/>
          </w:tcPr>
          <w:p>
            <w:pPr>
              <w:spacing w:after="0"/>
            </w:pPr>
            <w:r>
              <w:rPr>
                <w:rFonts w:ascii="Calibri" w:hAnsi="Calibri"/>
                <w:b w:val="0"/>
                <w:i w:val="0"/>
                <w:sz w:val="18"/>
              </w:rPr>
              <w:t>Independent numerical code reproduces the identity</w:t>
            </w:r>
          </w:p>
        </w:tc>
        <w:tc>
          <w:tcPr>
            <w:tcW w:type="dxa" w:w="4960"/>
            <w:tcMar>
              <w:top w:w="80" w:type="dxa"/>
              <w:start w:w="120" w:type="dxa"/>
              <w:bottom w:w="80" w:type="dxa"/>
              <w:end w:w="120" w:type="dxa"/>
            </w:tcMar>
            <w:vAlign w:val="center"/>
          </w:tcPr>
          <w:p>
            <w:pPr>
              <w:spacing w:after="0"/>
            </w:pPr>
            <w:r>
              <w:rPr>
                <w:rFonts w:ascii="Calibri" w:hAnsi="Calibri"/>
                <w:b w:val="0"/>
                <w:i w:val="0"/>
                <w:sz w:val="18"/>
              </w:rPr>
              <w:t>Implementation consistency</w:t>
            </w:r>
          </w:p>
        </w:tc>
      </w:tr>
      <w:tr>
        <w:tc>
          <w:tcPr>
            <w:tcW w:type="dxa" w:w="1700"/>
            <w:tcMar>
              <w:top w:w="80" w:type="dxa"/>
              <w:start w:w="120" w:type="dxa"/>
              <w:bottom w:w="80" w:type="dxa"/>
              <w:end w:w="120" w:type="dxa"/>
            </w:tcMar>
            <w:vAlign w:val="center"/>
          </w:tcPr>
          <w:p>
            <w:pPr>
              <w:spacing w:after="0"/>
            </w:pPr>
            <w:r>
              <w:rPr>
                <w:rFonts w:ascii="Calibri" w:hAnsi="Calibri"/>
                <w:b w:val="0"/>
                <w:i w:val="0"/>
                <w:sz w:val="18"/>
              </w:rPr>
              <w:t>REPRESENTATION</w:t>
            </w:r>
          </w:p>
        </w:tc>
        <w:tc>
          <w:tcPr>
            <w:tcW w:type="dxa" w:w="2700"/>
            <w:tcMar>
              <w:top w:w="80" w:type="dxa"/>
              <w:start w:w="120" w:type="dxa"/>
              <w:bottom w:w="80" w:type="dxa"/>
              <w:end w:w="120" w:type="dxa"/>
            </w:tcMar>
            <w:vAlign w:val="center"/>
          </w:tcPr>
          <w:p>
            <w:pPr>
              <w:spacing w:after="0"/>
            </w:pPr>
            <w:r>
              <w:rPr>
                <w:rFonts w:ascii="Calibri" w:hAnsi="Calibri"/>
                <w:b w:val="0"/>
                <w:i w:val="0"/>
                <w:sz w:val="18"/>
              </w:rPr>
              <w:t>Known physics encoded and reconstructed</w:t>
            </w:r>
          </w:p>
        </w:tc>
        <w:tc>
          <w:tcPr>
            <w:tcW w:type="dxa" w:w="4960"/>
            <w:tcMar>
              <w:top w:w="80" w:type="dxa"/>
              <w:start w:w="120" w:type="dxa"/>
              <w:bottom w:w="80" w:type="dxa"/>
              <w:end w:w="120" w:type="dxa"/>
            </w:tcMar>
            <w:vAlign w:val="center"/>
          </w:tcPr>
          <w:p>
            <w:pPr>
              <w:spacing w:after="0"/>
            </w:pPr>
            <w:r>
              <w:rPr>
                <w:rFonts w:ascii="Calibri" w:hAnsi="Calibri"/>
                <w:b w:val="0"/>
                <w:i w:val="0"/>
                <w:sz w:val="18"/>
              </w:rPr>
              <w:t>Equivalent formulation</w:t>
            </w:r>
          </w:p>
        </w:tc>
      </w:tr>
      <w:tr>
        <w:tc>
          <w:tcPr>
            <w:tcW w:type="dxa" w:w="1700"/>
            <w:tcMar>
              <w:top w:w="80" w:type="dxa"/>
              <w:start w:w="120" w:type="dxa"/>
              <w:bottom w:w="80" w:type="dxa"/>
              <w:end w:w="120" w:type="dxa"/>
            </w:tcMar>
            <w:vAlign w:val="center"/>
          </w:tcPr>
          <w:p>
            <w:pPr>
              <w:spacing w:after="0"/>
            </w:pPr>
            <w:r>
              <w:rPr>
                <w:rFonts w:ascii="Calibri" w:hAnsi="Calibri"/>
                <w:b w:val="0"/>
                <w:i w:val="0"/>
                <w:sz w:val="18"/>
              </w:rPr>
              <w:t>BLIND EMPIRICAL</w:t>
            </w:r>
          </w:p>
        </w:tc>
        <w:tc>
          <w:tcPr>
            <w:tcW w:type="dxa" w:w="2700"/>
            <w:tcMar>
              <w:top w:w="80" w:type="dxa"/>
              <w:start w:w="120" w:type="dxa"/>
              <w:bottom w:w="80" w:type="dxa"/>
              <w:end w:w="120" w:type="dxa"/>
            </w:tcMar>
            <w:vAlign w:val="center"/>
          </w:tcPr>
          <w:p>
            <w:pPr>
              <w:spacing w:after="0"/>
            </w:pPr>
            <w:r>
              <w:rPr>
                <w:rFonts w:ascii="Calibri" w:hAnsi="Calibri"/>
                <w:b w:val="0"/>
                <w:i w:val="0"/>
                <w:sz w:val="18"/>
              </w:rPr>
              <w:t>Frozen model predicts hidden data</w:t>
            </w:r>
          </w:p>
        </w:tc>
        <w:tc>
          <w:tcPr>
            <w:tcW w:type="dxa" w:w="4960"/>
            <w:tcMar>
              <w:top w:w="80" w:type="dxa"/>
              <w:start w:w="120" w:type="dxa"/>
              <w:bottom w:w="80" w:type="dxa"/>
              <w:end w:w="120" w:type="dxa"/>
            </w:tcMar>
            <w:vAlign w:val="center"/>
          </w:tcPr>
          <w:p>
            <w:pPr>
              <w:spacing w:after="0"/>
            </w:pPr>
            <w:r>
              <w:rPr>
                <w:rFonts w:ascii="Calibri" w:hAnsi="Calibri"/>
                <w:b w:val="0"/>
                <w:i w:val="0"/>
                <w:sz w:val="18"/>
              </w:rPr>
              <w:t>Evidence within the tested domain</w:t>
            </w:r>
          </w:p>
        </w:tc>
      </w:tr>
      <w:tr>
        <w:tc>
          <w:tcPr>
            <w:tcW w:type="dxa" w:w="1700"/>
            <w:tcMar>
              <w:top w:w="80" w:type="dxa"/>
              <w:start w:w="120" w:type="dxa"/>
              <w:bottom w:w="80" w:type="dxa"/>
              <w:end w:w="120" w:type="dxa"/>
            </w:tcMar>
            <w:vAlign w:val="center"/>
          </w:tcPr>
          <w:p>
            <w:pPr>
              <w:spacing w:after="0"/>
            </w:pPr>
            <w:r>
              <w:rPr>
                <w:rFonts w:ascii="Calibri" w:hAnsi="Calibri"/>
                <w:b w:val="0"/>
                <w:i w:val="0"/>
                <w:sz w:val="18"/>
              </w:rPr>
              <w:t>HYPOTHESIS</w:t>
            </w:r>
          </w:p>
        </w:tc>
        <w:tc>
          <w:tcPr>
            <w:tcW w:type="dxa" w:w="2700"/>
            <w:tcMar>
              <w:top w:w="80" w:type="dxa"/>
              <w:start w:w="120" w:type="dxa"/>
              <w:bottom w:w="80" w:type="dxa"/>
              <w:end w:w="120" w:type="dxa"/>
            </w:tcMar>
            <w:vAlign w:val="center"/>
          </w:tcPr>
          <w:p>
            <w:pPr>
              <w:spacing w:after="0"/>
            </w:pPr>
            <w:r>
              <w:rPr>
                <w:rFonts w:ascii="Calibri" w:hAnsi="Calibri"/>
                <w:b w:val="0"/>
                <w:i w:val="0"/>
                <w:sz w:val="18"/>
              </w:rPr>
              <w:t>Encoder decoder or physical identification is missing</w:t>
            </w:r>
          </w:p>
        </w:tc>
        <w:tc>
          <w:tcPr>
            <w:tcW w:type="dxa" w:w="4960"/>
            <w:tcMar>
              <w:top w:w="80" w:type="dxa"/>
              <w:start w:w="120" w:type="dxa"/>
              <w:bottom w:w="80" w:type="dxa"/>
              <w:end w:w="120" w:type="dxa"/>
            </w:tcMar>
            <w:vAlign w:val="center"/>
          </w:tcPr>
          <w:p>
            <w:pPr>
              <w:spacing w:after="0"/>
            </w:pPr>
            <w:r>
              <w:rPr>
                <w:rFonts w:ascii="Calibri" w:hAnsi="Calibri"/>
                <w:b w:val="0"/>
                <w:i w:val="0"/>
                <w:sz w:val="18"/>
              </w:rPr>
              <w:t>Research proposal only</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pPr>
              <w:spacing w:after="60"/>
            </w:pPr>
            <w:r>
              <w:rPr>
                <w:rFonts w:ascii="Calibri" w:hAnsi="Calibri"/>
                <w:b/>
                <w:i w:val="0"/>
                <w:color w:val="1F4D78"/>
                <w:sz w:val="22"/>
              </w:rPr>
              <w:t>Hard boundary</w:t>
            </w:r>
          </w:p>
          <w:p>
            <w:pPr>
              <w:spacing w:after="0"/>
            </w:pPr>
            <w:r>
              <w:rPr>
                <w:rFonts w:ascii="Calibri" w:hAnsi="Calibri"/>
                <w:b w:val="0"/>
                <w:i w:val="0"/>
                <w:sz w:val="20"/>
              </w:rPr>
              <w:t>No result in this document establishes that Delta is the unique primitive of nature  No laboratory validation universal physics Higgs mechanism black hole solution dark matter model or fundamental status for NSC has been established</w:t>
            </w:r>
          </w:p>
        </w:tc>
      </w:tr>
    </w:tbl>
    <w:p>
      <w:pPr>
        <w:spacing w:after="40"/>
      </w:pPr>
    </w:p>
    <w:p>
      <w:pPr>
        <w:pStyle w:val="Heading1"/>
      </w:pPr>
      <w:r>
        <w:t>2  Genealogy of the Model</w:t>
      </w:r>
    </w:p>
    <w:p>
      <w:pPr>
        <w:spacing w:after="120" w:line="300" w:lineRule="auto"/>
      </w:pPr>
      <w:r>
        <w:rPr>
          <w:rFonts w:ascii="Calibri" w:hAnsi="Calibri"/>
          <w:b w:val="0"/>
          <w:i w:val="0"/>
          <w:sz w:val="22"/>
        </w:rPr>
        <w:t>The earlier Soft Cube phase used both R and Delta as organizing symbols  The canonical radical brick was R equal to square root two plus square root three  Later auditing removed R from the primitive layer  In NSC version 0.1 Delta became the primitive relational transformation and R remained only an emergent calibration reference</w:t>
      </w:r>
    </w:p>
    <w:p>
      <w:pPr>
        <w:spacing w:before="100" w:after="100"/>
        <w:jc w:val="center"/>
      </w:pPr>
      <w:r>
        <w:drawing>
          <wp:inline xmlns:a="http://schemas.openxmlformats.org/drawingml/2006/main" xmlns:pic="http://schemas.openxmlformats.org/drawingml/2006/picture">
            <wp:extent cx="2472537" cy="547929"/>
            <wp:docPr id="3" name="Picture 3"/>
            <wp:cNvGraphicFramePr>
              <a:graphicFrameLocks noChangeAspect="1"/>
            </wp:cNvGraphicFramePr>
            <a:graphic>
              <a:graphicData uri="http://schemas.openxmlformats.org/drawingml/2006/picture">
                <pic:pic>
                  <pic:nvPicPr>
                    <pic:cNvPr id="0" name="5a65c258d2b8399326fb1e0218978aaf866e49026a5fde4edf93616befb75613.png"/>
                    <pic:cNvPicPr/>
                  </pic:nvPicPr>
                  <pic:blipFill>
                    <a:blip r:embed="rId13"/>
                    <a:stretch>
                      <a:fillRect/>
                    </a:stretch>
                  </pic:blipFill>
                  <pic:spPr>
                    <a:xfrm>
                      <a:off x="0" y="0"/>
                      <a:ext cx="2472537" cy="547929"/>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675006"/>
            <wp:docPr id="4" name="Picture 4"/>
            <wp:cNvGraphicFramePr>
              <a:graphicFrameLocks noChangeAspect="1"/>
            </wp:cNvGraphicFramePr>
            <a:graphic>
              <a:graphicData uri="http://schemas.openxmlformats.org/drawingml/2006/picture">
                <pic:pic>
                  <pic:nvPicPr>
                    <pic:cNvPr id="0" name="cc598fdb4c4cbe0c065a154cc165cd1919e18484f3c03320da2de7e1d7422245.png"/>
                    <pic:cNvPicPr/>
                  </pic:nvPicPr>
                  <pic:blipFill>
                    <a:blip r:embed="rId14"/>
                    <a:stretch>
                      <a:fillRect/>
                    </a:stretch>
                  </pic:blipFill>
                  <pic:spPr>
                    <a:xfrm>
                      <a:off x="0" y="0"/>
                      <a:ext cx="1965960" cy="675006"/>
                    </a:xfrm>
                    <a:prstGeom prst="rect"/>
                  </pic:spPr>
                </pic:pic>
              </a:graphicData>
            </a:graphic>
          </wp:inline>
        </w:drawing>
      </w:r>
    </w:p>
    <w:p>
      <w:pPr>
        <w:pStyle w:val="ListBullet"/>
        <w:spacing w:after="80" w:line="288" w:lineRule="auto"/>
      </w:pPr>
      <w:r>
        <w:rPr>
          <w:rFonts w:ascii="Calibri" w:hAnsi="Calibri"/>
          <w:b w:val="0"/>
          <w:i w:val="0"/>
          <w:sz w:val="22"/>
        </w:rPr>
        <w:t>Delta is not assumed to be a particle charge energy memory address or ordinary message carrier</w:t>
      </w:r>
    </w:p>
    <w:p>
      <w:pPr>
        <w:pStyle w:val="ListBullet"/>
        <w:spacing w:after="80" w:line="288" w:lineRule="auto"/>
      </w:pPr>
      <w:r>
        <w:rPr>
          <w:rFonts w:ascii="Calibri" w:hAnsi="Calibri"/>
          <w:b w:val="0"/>
          <w:i w:val="0"/>
          <w:sz w:val="22"/>
        </w:rPr>
        <w:t>No independent history register is assumed  Past information survives only through present correlations</w:t>
      </w:r>
    </w:p>
    <w:p>
      <w:pPr>
        <w:pStyle w:val="ListBullet"/>
        <w:spacing w:after="80" w:line="288" w:lineRule="auto"/>
      </w:pPr>
      <w:r>
        <w:rPr>
          <w:rFonts w:ascii="Calibri" w:hAnsi="Calibri"/>
          <w:b w:val="0"/>
          <w:i w:val="0"/>
          <w:sz w:val="22"/>
        </w:rPr>
        <w:t>The evolution parameter is initially relational and is not identified with physical time without an encoder</w:t>
      </w:r>
    </w:p>
    <w:p>
      <w:pPr>
        <w:pStyle w:val="ListBullet"/>
        <w:spacing w:after="80" w:line="288" w:lineRule="auto"/>
      </w:pPr>
      <w:r>
        <w:rPr>
          <w:rFonts w:ascii="Calibri" w:hAnsi="Calibri"/>
          <w:b w:val="0"/>
          <w:i w:val="0"/>
          <w:sz w:val="22"/>
        </w:rPr>
        <w:t>Noncommutativity is allowed when the underlying transformations are genuinely ordered  It is not mandatory</w:t>
      </w:r>
    </w:p>
    <w:p>
      <w:pPr>
        <w:pStyle w:val="Heading1"/>
      </w:pPr>
      <w:r>
        <w:t>3  Linear Generator Realization</w:t>
      </w:r>
    </w:p>
    <w:p>
      <w:pPr>
        <w:pStyle w:val="Heading2"/>
      </w:pPr>
      <w:r>
        <w:t>3 1  Axioms</w:t>
      </w:r>
    </w:p>
    <w:p>
      <w:pPr>
        <w:spacing w:after="120" w:line="300" w:lineRule="auto"/>
      </w:pPr>
      <w:r>
        <w:rPr>
          <w:rFonts w:ascii="Calibri" w:hAnsi="Calibri"/>
          <w:b w:val="0"/>
          <w:i w:val="0"/>
          <w:sz w:val="22"/>
        </w:rPr>
        <w:t>Let V be a finite dimensional vector space  This is a modeling assumption rather than an ontological statement  Let G be a linear generator and Delta a scalar relational step</w:t>
      </w:r>
    </w:p>
    <w:p>
      <w:pPr>
        <w:spacing w:before="100" w:after="100"/>
        <w:jc w:val="center"/>
      </w:pPr>
      <w:r>
        <w:drawing>
          <wp:inline xmlns:a="http://schemas.openxmlformats.org/drawingml/2006/main" xmlns:pic="http://schemas.openxmlformats.org/drawingml/2006/picture">
            <wp:extent cx="3090672" cy="784588"/>
            <wp:docPr id="5" name="Picture 5"/>
            <wp:cNvGraphicFramePr>
              <a:graphicFrameLocks noChangeAspect="1"/>
            </wp:cNvGraphicFramePr>
            <a:graphic>
              <a:graphicData uri="http://schemas.openxmlformats.org/drawingml/2006/picture">
                <pic:pic>
                  <pic:nvPicPr>
                    <pic:cNvPr id="0" name="ede357a3ed703e26e7803b1f7181cb73bdad64f0fffbb2fc6b4e000454147475.png"/>
                    <pic:cNvPicPr/>
                  </pic:nvPicPr>
                  <pic:blipFill>
                    <a:blip r:embed="rId15"/>
                    <a:stretch>
                      <a:fillRect/>
                    </a:stretch>
                  </pic:blipFill>
                  <pic:spPr>
                    <a:xfrm>
                      <a:off x="0" y="0"/>
                      <a:ext cx="3090672" cy="784588"/>
                    </a:xfrm>
                    <a:prstGeom prst="rect"/>
                  </pic:spPr>
                </pic:pic>
              </a:graphicData>
            </a:graphic>
          </wp:inline>
        </w:drawing>
      </w:r>
    </w:p>
    <w:p>
      <w:pPr>
        <w:spacing w:after="120" w:line="300" w:lineRule="auto"/>
      </w:pPr>
      <w:r>
        <w:rPr>
          <w:rFonts w:ascii="Calibri" w:hAnsi="Calibri"/>
          <w:b w:val="0"/>
          <w:i w:val="0"/>
          <w:sz w:val="22"/>
        </w:rPr>
        <w:t>For conservation statements let H be a nondegenerate Hermitian or bilinear form  If finite dimensionality linearity or exponential representation is removed the following results do not automatically survive</w:t>
      </w:r>
    </w:p>
    <w:p>
      <w:pPr>
        <w:pStyle w:val="Heading2"/>
      </w:pPr>
      <w:r>
        <w:t>3 2  Composition theorem</w:t>
      </w:r>
    </w:p>
    <w:p>
      <w:pPr>
        <w:spacing w:before="100" w:after="100"/>
        <w:jc w:val="center"/>
      </w:pPr>
      <w:r>
        <w:drawing>
          <wp:inline xmlns:a="http://schemas.openxmlformats.org/drawingml/2006/main" xmlns:pic="http://schemas.openxmlformats.org/drawingml/2006/picture">
            <wp:extent cx="3518611" cy="344752"/>
            <wp:docPr id="6" name="Picture 6"/>
            <wp:cNvGraphicFramePr>
              <a:graphicFrameLocks noChangeAspect="1"/>
            </wp:cNvGraphicFramePr>
            <a:graphic>
              <a:graphicData uri="http://schemas.openxmlformats.org/drawingml/2006/picture">
                <pic:pic>
                  <pic:nvPicPr>
                    <pic:cNvPr id="0" name="1f634f6413eafeff17460934315177e1b95f52bef87f3cffff22f8b70024da5b.png"/>
                    <pic:cNvPicPr/>
                  </pic:nvPicPr>
                  <pic:blipFill>
                    <a:blip r:embed="rId16"/>
                    <a:stretch>
                      <a:fillRect/>
                    </a:stretch>
                  </pic:blipFill>
                  <pic:spPr>
                    <a:xfrm>
                      <a:off x="0" y="0"/>
                      <a:ext cx="3518611" cy="344752"/>
                    </a:xfrm>
                    <a:prstGeom prst="rect"/>
                  </pic:spPr>
                </pic:pic>
              </a:graphicData>
            </a:graphic>
          </wp:inline>
        </w:drawing>
      </w:r>
    </w:p>
    <w:p>
      <w:pPr>
        <w:spacing w:after="120" w:line="300" w:lineRule="auto"/>
      </w:pPr>
      <w:r>
        <w:rPr>
          <w:rFonts w:ascii="Calibri" w:hAnsi="Calibri"/>
          <w:b w:val="0"/>
          <w:i w:val="0"/>
          <w:sz w:val="22"/>
        </w:rPr>
        <w:t>The proof follows because scalar multiples of the same generator commute  For distinct generators the corresponding equality requires commutation or an explicitly path ordered product</w:t>
      </w:r>
    </w:p>
    <w:p>
      <w:pPr>
        <w:spacing w:before="100" w:after="100"/>
        <w:jc w:val="center"/>
      </w:pPr>
      <w:r>
        <w:drawing>
          <wp:inline xmlns:a="http://schemas.openxmlformats.org/drawingml/2006/main" xmlns:pic="http://schemas.openxmlformats.org/drawingml/2006/picture">
            <wp:extent cx="2139696" cy="750856"/>
            <wp:docPr id="7" name="Picture 7"/>
            <wp:cNvGraphicFramePr>
              <a:graphicFrameLocks noChangeAspect="1"/>
            </wp:cNvGraphicFramePr>
            <a:graphic>
              <a:graphicData uri="http://schemas.openxmlformats.org/drawingml/2006/picture">
                <pic:pic>
                  <pic:nvPicPr>
                    <pic:cNvPr id="0" name="3c2eac48a1e40728f8d6d1036d30e19bde2b10ce117a5bec0be686e0799ddca8.png"/>
                    <pic:cNvPicPr/>
                  </pic:nvPicPr>
                  <pic:blipFill>
                    <a:blip r:embed="rId17"/>
                    <a:stretch>
                      <a:fillRect/>
                    </a:stretch>
                  </pic:blipFill>
                  <pic:spPr>
                    <a:xfrm>
                      <a:off x="0" y="0"/>
                      <a:ext cx="2139696" cy="750856"/>
                    </a:xfrm>
                    <a:prstGeom prst="rect"/>
                  </pic:spPr>
                </pic:pic>
              </a:graphicData>
            </a:graphic>
          </wp:inline>
        </w:drawing>
      </w:r>
    </w:p>
    <w:p>
      <w:pPr>
        <w:pStyle w:val="Heading2"/>
      </w:pPr>
      <w:r>
        <w:t>3 3  Invariant form theorem</w:t>
      </w:r>
    </w:p>
    <w:p>
      <w:pPr>
        <w:spacing w:before="100" w:after="100"/>
        <w:jc w:val="center"/>
      </w:pPr>
      <w:r>
        <w:drawing>
          <wp:inline xmlns:a="http://schemas.openxmlformats.org/drawingml/2006/main" xmlns:pic="http://schemas.openxmlformats.org/drawingml/2006/picture">
            <wp:extent cx="1965960" cy="415605"/>
            <wp:docPr id="8" name="Picture 8"/>
            <wp:cNvGraphicFramePr>
              <a:graphicFrameLocks noChangeAspect="1"/>
            </wp:cNvGraphicFramePr>
            <a:graphic>
              <a:graphicData uri="http://schemas.openxmlformats.org/drawingml/2006/picture">
                <pic:pic>
                  <pic:nvPicPr>
                    <pic:cNvPr id="0" name="3dc618618e913a91716a1345a65b1f4e85e56766b191f48038ab9a06b6bd2d5c.png"/>
                    <pic:cNvPicPr/>
                  </pic:nvPicPr>
                  <pic:blipFill>
                    <a:blip r:embed="rId18"/>
                    <a:stretch>
                      <a:fillRect/>
                    </a:stretch>
                  </pic:blipFill>
                  <pic:spPr>
                    <a:xfrm>
                      <a:off x="0" y="0"/>
                      <a:ext cx="1965960" cy="415605"/>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318713"/>
            <wp:docPr id="9" name="Picture 9"/>
            <wp:cNvGraphicFramePr>
              <a:graphicFrameLocks noChangeAspect="1"/>
            </wp:cNvGraphicFramePr>
            <a:graphic>
              <a:graphicData uri="http://schemas.openxmlformats.org/drawingml/2006/picture">
                <pic:pic>
                  <pic:nvPicPr>
                    <pic:cNvPr id="0" name="b03fa7c3c79e9cf840f56e8f3b9f6c8df29f9112819f06eb260d8518bf995c06.png"/>
                    <pic:cNvPicPr/>
                  </pic:nvPicPr>
                  <pic:blipFill>
                    <a:blip r:embed="rId19"/>
                    <a:stretch>
                      <a:fillRect/>
                    </a:stretch>
                  </pic:blipFill>
                  <pic:spPr>
                    <a:xfrm>
                      <a:off x="0" y="0"/>
                      <a:ext cx="1965960" cy="318713"/>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97049" cy="238641"/>
            <wp:docPr id="10" name="Picture 10"/>
            <wp:cNvGraphicFramePr>
              <a:graphicFrameLocks noChangeAspect="1"/>
            </wp:cNvGraphicFramePr>
            <a:graphic>
              <a:graphicData uri="http://schemas.openxmlformats.org/drawingml/2006/picture">
                <pic:pic>
                  <pic:nvPicPr>
                    <pic:cNvPr id="0" name="6c0238d3c1531f9efc45f2b17ccc845eb28abca2da95719a24a69b0ec5dac509.png"/>
                    <pic:cNvPicPr/>
                  </pic:nvPicPr>
                  <pic:blipFill>
                    <a:blip r:embed="rId20"/>
                    <a:stretch>
                      <a:fillRect/>
                    </a:stretch>
                  </pic:blipFill>
                  <pic:spPr>
                    <a:xfrm>
                      <a:off x="0" y="0"/>
                      <a:ext cx="1997049" cy="238641"/>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2234793" cy="352082"/>
            <wp:docPr id="11" name="Picture 11"/>
            <wp:cNvGraphicFramePr>
              <a:graphicFrameLocks noChangeAspect="1"/>
            </wp:cNvGraphicFramePr>
            <a:graphic>
              <a:graphicData uri="http://schemas.openxmlformats.org/drawingml/2006/picture">
                <pic:pic>
                  <pic:nvPicPr>
                    <pic:cNvPr id="0" name="6f24e4d6fcd82177bf866ac2b0eb75dcc592c18bbc23d6a0afb91a4ad2bdfaee.png"/>
                    <pic:cNvPicPr/>
                  </pic:nvPicPr>
                  <pic:blipFill>
                    <a:blip r:embed="rId21"/>
                    <a:stretch>
                      <a:fillRect/>
                    </a:stretch>
                  </pic:blipFill>
                  <pic:spPr>
                    <a:xfrm>
                      <a:off x="0" y="0"/>
                      <a:ext cx="2234793" cy="352082"/>
                    </a:xfrm>
                    <a:prstGeom prst="rect"/>
                  </pic:spPr>
                </pic:pic>
              </a:graphicData>
            </a:graphic>
          </wp:inline>
        </w:drawing>
      </w:r>
    </w:p>
    <w:p>
      <w:pPr>
        <w:spacing w:after="120" w:line="300" w:lineRule="auto"/>
      </w:pPr>
      <w:r>
        <w:rPr>
          <w:rFonts w:ascii="Calibri" w:hAnsi="Calibri"/>
          <w:b w:val="0"/>
          <w:i w:val="0"/>
          <w:sz w:val="22"/>
        </w:rPr>
        <w:t>This proof is exact and does not depend on numerical approximation  It is conditional on the existence of the selected form H and on the generator condition</w:t>
      </w:r>
    </w:p>
    <w:p>
      <w:pPr>
        <w:pStyle w:val="Heading2"/>
      </w:pPr>
      <w:r>
        <w:t>3 4  Determinant theorem</w:t>
      </w:r>
    </w:p>
    <w:p>
      <w:pPr>
        <w:spacing w:before="100" w:after="100"/>
        <w:jc w:val="center"/>
      </w:pPr>
      <w:r>
        <w:drawing>
          <wp:inline xmlns:a="http://schemas.openxmlformats.org/drawingml/2006/main" xmlns:pic="http://schemas.openxmlformats.org/drawingml/2006/picture">
            <wp:extent cx="1965960" cy="464592"/>
            <wp:docPr id="12" name="Picture 12"/>
            <wp:cNvGraphicFramePr>
              <a:graphicFrameLocks noChangeAspect="1"/>
            </wp:cNvGraphicFramePr>
            <a:graphic>
              <a:graphicData uri="http://schemas.openxmlformats.org/drawingml/2006/picture">
                <pic:pic>
                  <pic:nvPicPr>
                    <pic:cNvPr id="0" name="d7db78a6fb0e3c1845f161c072c70bef5650b35d4ada48e45af0ff1250b96bc1.png"/>
                    <pic:cNvPicPr/>
                  </pic:nvPicPr>
                  <pic:blipFill>
                    <a:blip r:embed="rId22"/>
                    <a:stretch>
                      <a:fillRect/>
                    </a:stretch>
                  </pic:blipFill>
                  <pic:spPr>
                    <a:xfrm>
                      <a:off x="0" y="0"/>
                      <a:ext cx="1965960" cy="464592"/>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2044598" cy="401315"/>
            <wp:docPr id="13" name="Picture 13"/>
            <wp:cNvGraphicFramePr>
              <a:graphicFrameLocks noChangeAspect="1"/>
            </wp:cNvGraphicFramePr>
            <a:graphic>
              <a:graphicData uri="http://schemas.openxmlformats.org/drawingml/2006/picture">
                <pic:pic>
                  <pic:nvPicPr>
                    <pic:cNvPr id="0" name="2a3a89ca4520b58838d425a2255fd2ba1ce600ab16b7c9b1d6bc07652718a211.png"/>
                    <pic:cNvPicPr/>
                  </pic:nvPicPr>
                  <pic:blipFill>
                    <a:blip r:embed="rId23"/>
                    <a:stretch>
                      <a:fillRect/>
                    </a:stretch>
                  </pic:blipFill>
                  <pic:spPr>
                    <a:xfrm>
                      <a:off x="0" y="0"/>
                      <a:ext cx="2044598" cy="401315"/>
                    </a:xfrm>
                    <a:prstGeom prst="rect"/>
                  </pic:spPr>
                </pic:pic>
              </a:graphicData>
            </a:graphic>
          </wp:inline>
        </w:drawing>
      </w:r>
    </w:p>
    <w:p>
      <w:pPr>
        <w:spacing w:after="120" w:line="300" w:lineRule="auto"/>
      </w:pPr>
      <w:r>
        <w:rPr>
          <w:rFonts w:ascii="Calibri" w:hAnsi="Calibri"/>
          <w:b w:val="0"/>
          <w:i w:val="0"/>
          <w:sz w:val="22"/>
        </w:rPr>
        <w:t>A trace free generator therefore produces a unit determinant transformation</w:t>
      </w:r>
    </w:p>
    <w:p>
      <w:pPr>
        <w:pStyle w:val="Heading1"/>
      </w:pPr>
      <w:r>
        <w:t>4  Exact Two Dimensional Closure</w:t>
      </w:r>
    </w:p>
    <w:p>
      <w:pPr>
        <w:spacing w:after="120" w:line="300" w:lineRule="auto"/>
      </w:pPr>
      <w:r>
        <w:rPr>
          <w:rFonts w:ascii="Calibri" w:hAnsi="Calibri"/>
          <w:b w:val="0"/>
          <w:i w:val="0"/>
          <w:sz w:val="22"/>
        </w:rPr>
        <w:t>For a trace free two by two generator</w:t>
      </w:r>
    </w:p>
    <w:p>
      <w:pPr>
        <w:spacing w:before="100" w:after="100"/>
        <w:jc w:val="center"/>
      </w:pPr>
      <w:r>
        <w:drawing>
          <wp:inline xmlns:a="http://schemas.openxmlformats.org/drawingml/2006/main" xmlns:pic="http://schemas.openxmlformats.org/drawingml/2006/picture">
            <wp:extent cx="1965960" cy="844109"/>
            <wp:docPr id="14" name="Picture 14"/>
            <wp:cNvGraphicFramePr>
              <a:graphicFrameLocks noChangeAspect="1"/>
            </wp:cNvGraphicFramePr>
            <a:graphic>
              <a:graphicData uri="http://schemas.openxmlformats.org/drawingml/2006/picture">
                <pic:pic>
                  <pic:nvPicPr>
                    <pic:cNvPr id="0" name="beac264b2ab6f5dad7e45cd79ef89d93b89863898d476e4a1214ad58dae69114.png"/>
                    <pic:cNvPicPr/>
                  </pic:nvPicPr>
                  <pic:blipFill>
                    <a:blip r:embed="rId24"/>
                    <a:stretch>
                      <a:fillRect/>
                    </a:stretch>
                  </pic:blipFill>
                  <pic:spPr>
                    <a:xfrm>
                      <a:off x="0" y="0"/>
                      <a:ext cx="1965960" cy="844109"/>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207530"/>
            <wp:docPr id="15" name="Picture 15"/>
            <wp:cNvGraphicFramePr>
              <a:graphicFrameLocks noChangeAspect="1"/>
            </wp:cNvGraphicFramePr>
            <a:graphic>
              <a:graphicData uri="http://schemas.openxmlformats.org/drawingml/2006/picture">
                <pic:pic>
                  <pic:nvPicPr>
                    <pic:cNvPr id="0" name="b1465be09038efcb0f53c22375e31e6ed29c1557f58defa18dac53982e04a7ea.png"/>
                    <pic:cNvPicPr/>
                  </pic:nvPicPr>
                  <pic:blipFill>
                    <a:blip r:embed="rId25"/>
                    <a:stretch>
                      <a:fillRect/>
                    </a:stretch>
                  </pic:blipFill>
                  <pic:spPr>
                    <a:xfrm>
                      <a:off x="0" y="0"/>
                      <a:ext cx="1965960" cy="207530"/>
                    </a:xfrm>
                    <a:prstGeom prst="rect"/>
                  </pic:spPr>
                </pic:pic>
              </a:graphicData>
            </a:graphic>
          </wp:inline>
        </w:drawing>
      </w:r>
    </w:p>
    <w:p>
      <w:pPr>
        <w:spacing w:after="120" w:line="300" w:lineRule="auto"/>
      </w:pPr>
      <w:r>
        <w:rPr>
          <w:rFonts w:ascii="Calibri" w:hAnsi="Calibri"/>
          <w:b w:val="0"/>
          <w:i w:val="0"/>
          <w:sz w:val="22"/>
        </w:rPr>
        <w:t>Every higher power collapses to a linear combination of I and G  The exponential therefore has three exact classes</w:t>
      </w:r>
    </w:p>
    <w:p>
      <w:pPr>
        <w:spacing w:before="100" w:after="100"/>
        <w:jc w:val="center"/>
      </w:pPr>
      <w:r>
        <w:drawing>
          <wp:inline xmlns:a="http://schemas.openxmlformats.org/drawingml/2006/main" xmlns:pic="http://schemas.openxmlformats.org/drawingml/2006/picture">
            <wp:extent cx="4992624" cy="655046"/>
            <wp:docPr id="16" name="Picture 16"/>
            <wp:cNvGraphicFramePr>
              <a:graphicFrameLocks noChangeAspect="1"/>
            </wp:cNvGraphicFramePr>
            <a:graphic>
              <a:graphicData uri="http://schemas.openxmlformats.org/drawingml/2006/picture">
                <pic:pic>
                  <pic:nvPicPr>
                    <pic:cNvPr id="0" name="dd51d488dd910c7670e406f44d235b6ed6b6853e54f0e56ba56fb7f28b9947c9.png"/>
                    <pic:cNvPicPr/>
                  </pic:nvPicPr>
                  <pic:blipFill>
                    <a:blip r:embed="rId26"/>
                    <a:stretch>
                      <a:fillRect/>
                    </a:stretch>
                  </pic:blipFill>
                  <pic:spPr>
                    <a:xfrm>
                      <a:off x="0" y="0"/>
                      <a:ext cx="4992624" cy="655046"/>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5040172" cy="621500"/>
            <wp:docPr id="17" name="Picture 17"/>
            <wp:cNvGraphicFramePr>
              <a:graphicFrameLocks noChangeAspect="1"/>
            </wp:cNvGraphicFramePr>
            <a:graphic>
              <a:graphicData uri="http://schemas.openxmlformats.org/drawingml/2006/picture">
                <pic:pic>
                  <pic:nvPicPr>
                    <pic:cNvPr id="0" name="44618fc9ddd4cacb17c187821cf2db9899aa71008145e2017ede1d3f71750779.png"/>
                    <pic:cNvPicPr/>
                  </pic:nvPicPr>
                  <pic:blipFill>
                    <a:blip r:embed="rId27"/>
                    <a:stretch>
                      <a:fillRect/>
                    </a:stretch>
                  </pic:blipFill>
                  <pic:spPr>
                    <a:xfrm>
                      <a:off x="0" y="0"/>
                      <a:ext cx="5040172" cy="621500"/>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278614"/>
            <wp:docPr id="18" name="Picture 18"/>
            <wp:cNvGraphicFramePr>
              <a:graphicFrameLocks noChangeAspect="1"/>
            </wp:cNvGraphicFramePr>
            <a:graphic>
              <a:graphicData uri="http://schemas.openxmlformats.org/drawingml/2006/picture">
                <pic:pic>
                  <pic:nvPicPr>
                    <pic:cNvPr id="0" name="05f52f39d4957ddd1cbd411b2d4e3dce8100dbec7f15fc08625d4d80fd1f7e78.png"/>
                    <pic:cNvPicPr/>
                  </pic:nvPicPr>
                  <pic:blipFill>
                    <a:blip r:embed="rId28"/>
                    <a:stretch>
                      <a:fillRect/>
                    </a:stretch>
                  </pic:blipFill>
                  <pic:spPr>
                    <a:xfrm>
                      <a:off x="0" y="0"/>
                      <a:ext cx="1965960" cy="278614"/>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pPr>
              <w:spacing w:after="60"/>
            </w:pPr>
            <w:r>
              <w:rPr>
                <w:rFonts w:ascii="Calibri" w:hAnsi="Calibri"/>
                <w:b/>
                <w:i w:val="0"/>
                <w:color w:val="1F4D78"/>
                <w:sz w:val="22"/>
              </w:rPr>
              <w:t>Central mathematical observation</w:t>
            </w:r>
          </w:p>
          <w:p>
            <w:pPr>
              <w:spacing w:after="0"/>
            </w:pPr>
            <w:r>
              <w:rPr>
                <w:rFonts w:ascii="Calibri" w:hAnsi="Calibri"/>
                <w:b w:val="0"/>
                <w:i w:val="0"/>
                <w:sz w:val="20"/>
              </w:rPr>
              <w:t>Oscillatory and hyperbolic transport are sign classes of the same two dimensional trace free generator theorem  This unifies their representation but does not prove that the physical systems share a new underlying substance</w:t>
            </w:r>
          </w:p>
        </w:tc>
      </w:tr>
    </w:tbl>
    <w:p>
      <w:pPr>
        <w:spacing w:after="40"/>
      </w:pPr>
    </w:p>
    <w:p>
      <w:pPr>
        <w:pStyle w:val="Heading1"/>
      </w:pPr>
      <w:r>
        <w:t>5  Order Noncommutativity and Holonomy</w:t>
      </w:r>
    </w:p>
    <w:p>
      <w:pPr>
        <w:pStyle w:val="Heading2"/>
      </w:pPr>
      <w:r>
        <w:t>5 1  Weak order law</w:t>
      </w:r>
    </w:p>
    <w:p>
      <w:pPr>
        <w:spacing w:after="120" w:line="300" w:lineRule="auto"/>
      </w:pPr>
      <w:r>
        <w:rPr>
          <w:rFonts w:ascii="Calibri" w:hAnsi="Calibri"/>
          <w:b w:val="0"/>
          <w:i w:val="0"/>
          <w:sz w:val="22"/>
        </w:rPr>
        <w:t>For two generators A and B and a small parameter epsilon the Baker Campbell Hausdorff expansion gives</w:t>
      </w:r>
    </w:p>
    <w:p>
      <w:pPr>
        <w:spacing w:before="100" w:after="100"/>
        <w:jc w:val="center"/>
      </w:pPr>
      <w:r>
        <w:drawing>
          <wp:inline xmlns:a="http://schemas.openxmlformats.org/drawingml/2006/main" xmlns:pic="http://schemas.openxmlformats.org/drawingml/2006/picture">
            <wp:extent cx="4992624" cy="521207"/>
            <wp:docPr id="19" name="Picture 19"/>
            <wp:cNvGraphicFramePr>
              <a:graphicFrameLocks noChangeAspect="1"/>
            </wp:cNvGraphicFramePr>
            <a:graphic>
              <a:graphicData uri="http://schemas.openxmlformats.org/drawingml/2006/picture">
                <pic:pic>
                  <pic:nvPicPr>
                    <pic:cNvPr id="0" name="07abaf4b368b96c838a40fb04ecc5650eb1db521431cc922ed9acfb213d30d35.png"/>
                    <pic:cNvPicPr/>
                  </pic:nvPicPr>
                  <pic:blipFill>
                    <a:blip r:embed="rId29"/>
                    <a:stretch>
                      <a:fillRect/>
                    </a:stretch>
                  </pic:blipFill>
                  <pic:spPr>
                    <a:xfrm>
                      <a:off x="0" y="0"/>
                      <a:ext cx="4992624" cy="521207"/>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5623560" cy="578896"/>
            <wp:docPr id="20" name="Picture 20"/>
            <wp:cNvGraphicFramePr>
              <a:graphicFrameLocks noChangeAspect="1"/>
            </wp:cNvGraphicFramePr>
            <a:graphic>
              <a:graphicData uri="http://schemas.openxmlformats.org/drawingml/2006/picture">
                <pic:pic>
                  <pic:nvPicPr>
                    <pic:cNvPr id="0" name="696ccb23c27fe652544d5d3c622af3efbf46cd758501726b7365b0c61e7b753b.png"/>
                    <pic:cNvPicPr/>
                  </pic:nvPicPr>
                  <pic:blipFill>
                    <a:blip r:embed="rId30"/>
                    <a:stretch>
                      <a:fillRect/>
                    </a:stretch>
                  </pic:blipFill>
                  <pic:spPr>
                    <a:xfrm>
                      <a:off x="0" y="0"/>
                      <a:ext cx="5623560" cy="578896"/>
                    </a:xfrm>
                    <a:prstGeom prst="rect"/>
                  </pic:spPr>
                </pic:pic>
              </a:graphicData>
            </a:graphic>
          </wp:inline>
        </w:drawing>
      </w:r>
    </w:p>
    <w:p>
      <w:pPr>
        <w:spacing w:after="120" w:line="300" w:lineRule="auto"/>
      </w:pPr>
      <w:r>
        <w:rPr>
          <w:rFonts w:ascii="Calibri" w:hAnsi="Calibri"/>
          <w:b w:val="0"/>
          <w:i w:val="0"/>
          <w:sz w:val="22"/>
        </w:rPr>
        <w:t>The power four appears because a second order amplitude difference is squared  It is a known Lie algebra consequence and not an independent physical law discovered by NSC  If the commutator vanishes the difference is exactly zero</w:t>
      </w:r>
    </w:p>
    <w:p>
      <w:pPr>
        <w:pStyle w:val="Heading2"/>
      </w:pPr>
      <w:r>
        <w:t>5 2  Holonomy diagnostic</w:t>
      </w:r>
    </w:p>
    <w:p>
      <w:pPr>
        <w:spacing w:before="100" w:after="100"/>
        <w:jc w:val="center"/>
      </w:pPr>
      <w:r>
        <w:drawing>
          <wp:inline xmlns:a="http://schemas.openxmlformats.org/drawingml/2006/main" xmlns:pic="http://schemas.openxmlformats.org/drawingml/2006/picture">
            <wp:extent cx="1965960" cy="646864"/>
            <wp:docPr id="21" name="Picture 21"/>
            <wp:cNvGraphicFramePr>
              <a:graphicFrameLocks noChangeAspect="1"/>
            </wp:cNvGraphicFramePr>
            <a:graphic>
              <a:graphicData uri="http://schemas.openxmlformats.org/drawingml/2006/picture">
                <pic:pic>
                  <pic:nvPicPr>
                    <pic:cNvPr id="0" name="e598f6377075e732b27ae5a195c24cf76fa46c1f84b1304a8760ad1373d198fa.png"/>
                    <pic:cNvPicPr/>
                  </pic:nvPicPr>
                  <pic:blipFill>
                    <a:blip r:embed="rId31"/>
                    <a:stretch>
                      <a:fillRect/>
                    </a:stretch>
                  </pic:blipFill>
                  <pic:spPr>
                    <a:xfrm>
                      <a:off x="0" y="0"/>
                      <a:ext cx="1965960" cy="646864"/>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2234793" cy="671376"/>
            <wp:docPr id="22" name="Picture 22"/>
            <wp:cNvGraphicFramePr>
              <a:graphicFrameLocks noChangeAspect="1"/>
            </wp:cNvGraphicFramePr>
            <a:graphic>
              <a:graphicData uri="http://schemas.openxmlformats.org/drawingml/2006/picture">
                <pic:pic>
                  <pic:nvPicPr>
                    <pic:cNvPr id="0" name="94e428202d09a4cc2ecde40f067b4390fefa29049a9a2a4d8b6841ee51407a99.png"/>
                    <pic:cNvPicPr/>
                  </pic:nvPicPr>
                  <pic:blipFill>
                    <a:blip r:embed="rId32"/>
                    <a:stretch>
                      <a:fillRect/>
                    </a:stretch>
                  </pic:blipFill>
                  <pic:spPr>
                    <a:xfrm>
                      <a:off x="0" y="0"/>
                      <a:ext cx="2234793" cy="671376"/>
                    </a:xfrm>
                    <a:prstGeom prst="rect"/>
                  </pic:spPr>
                </pic:pic>
              </a:graphicData>
            </a:graphic>
          </wp:inline>
        </w:drawing>
      </w:r>
    </w:p>
    <w:p>
      <w:pPr>
        <w:spacing w:after="120" w:line="300" w:lineRule="auto"/>
      </w:pPr>
      <w:r>
        <w:rPr>
          <w:rFonts w:ascii="Calibri" w:hAnsi="Calibri"/>
          <w:b w:val="0"/>
          <w:i w:val="0"/>
          <w:sz w:val="22"/>
        </w:rPr>
        <w:t>Holonomy is a candidate summary of path dependent relational history  Its capacity injectivity and decodability have not been proved  It cannot yet replace an explicit record R in general</w:t>
      </w:r>
    </w:p>
    <w:p>
      <w:pPr>
        <w:spacing w:after="120"/>
      </w:pPr>
      <w:r>
        <w:rPr>
          <w:rFonts w:ascii="Calibri" w:hAnsi="Calibri"/>
          <w:b/>
          <w:i w:val="0"/>
          <w:color w:val="1F4D78"/>
          <w:sz w:val="18"/>
        </w:rPr>
        <w:t xml:space="preserve">COMPUTATIONAL CHECK  </w:t>
      </w:r>
      <w:r>
        <w:rPr>
          <w:rFonts w:ascii="Calibri" w:hAnsi="Calibri"/>
          <w:b w:val="0"/>
          <w:i w:val="0"/>
          <w:sz w:val="20"/>
        </w:rPr>
        <w:t>The formal verification suite passed 16 of 16 identities  The measured weak order exponent was 3.9970759368  The commuting null maximum was 5.18 × 10⁻³¹</w:t>
      </w:r>
    </w:p>
    <w:p>
      <w:pPr>
        <w:pStyle w:val="Heading1"/>
      </w:pPr>
      <w:r>
        <w:t>6  Layered Optics</w:t>
      </w:r>
    </w:p>
    <w:p>
      <w:pPr>
        <w:pStyle w:val="Heading2"/>
      </w:pPr>
      <w:r>
        <w:t>6 1  Optical generator</w:t>
      </w:r>
    </w:p>
    <w:p>
      <w:pPr>
        <w:spacing w:before="100" w:after="100"/>
        <w:jc w:val="center"/>
      </w:pPr>
      <w:r>
        <w:drawing>
          <wp:inline xmlns:a="http://schemas.openxmlformats.org/drawingml/2006/main" xmlns:pic="http://schemas.openxmlformats.org/drawingml/2006/picture">
            <wp:extent cx="2805379" cy="811256"/>
            <wp:docPr id="23" name="Picture 23"/>
            <wp:cNvGraphicFramePr>
              <a:graphicFrameLocks noChangeAspect="1"/>
            </wp:cNvGraphicFramePr>
            <a:graphic>
              <a:graphicData uri="http://schemas.openxmlformats.org/drawingml/2006/picture">
                <pic:pic>
                  <pic:nvPicPr>
                    <pic:cNvPr id="0" name="ef25a2f98661db0148fd51c0fbd79ee9aa91eccff01382b361f721d476dacf95.png"/>
                    <pic:cNvPicPr/>
                  </pic:nvPicPr>
                  <pic:blipFill>
                    <a:blip r:embed="rId33"/>
                    <a:stretch>
                      <a:fillRect/>
                    </a:stretch>
                  </pic:blipFill>
                  <pic:spPr>
                    <a:xfrm>
                      <a:off x="0" y="0"/>
                      <a:ext cx="2805379" cy="811256"/>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688752"/>
            <wp:docPr id="24" name="Picture 24"/>
            <wp:cNvGraphicFramePr>
              <a:graphicFrameLocks noChangeAspect="1"/>
            </wp:cNvGraphicFramePr>
            <a:graphic>
              <a:graphicData uri="http://schemas.openxmlformats.org/drawingml/2006/picture">
                <pic:pic>
                  <pic:nvPicPr>
                    <pic:cNvPr id="0" name="dc9996387785f269b7aef95185c42ca5448e6ddcf19aff5af70d1c921ce33b5b.png"/>
                    <pic:cNvPicPr/>
                  </pic:nvPicPr>
                  <pic:blipFill>
                    <a:blip r:embed="rId34"/>
                    <a:stretch>
                      <a:fillRect/>
                    </a:stretch>
                  </pic:blipFill>
                  <pic:spPr>
                    <a:xfrm>
                      <a:off x="0" y="0"/>
                      <a:ext cx="1965960" cy="688752"/>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4897526" cy="1200155"/>
            <wp:docPr id="25" name="Picture 25"/>
            <wp:cNvGraphicFramePr>
              <a:graphicFrameLocks noChangeAspect="1"/>
            </wp:cNvGraphicFramePr>
            <a:graphic>
              <a:graphicData uri="http://schemas.openxmlformats.org/drawingml/2006/picture">
                <pic:pic>
                  <pic:nvPicPr>
                    <pic:cNvPr id="0" name="48e525c72be898bb0b9e1a0482057ca5d95106b48291504f4ddcdc6e7f37db4d.png"/>
                    <pic:cNvPicPr/>
                  </pic:nvPicPr>
                  <pic:blipFill>
                    <a:blip r:embed="rId35"/>
                    <a:stretch>
                      <a:fillRect/>
                    </a:stretch>
                  </pic:blipFill>
                  <pic:spPr>
                    <a:xfrm>
                      <a:off x="0" y="0"/>
                      <a:ext cx="4897526" cy="1200155"/>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1003601"/>
            <wp:docPr id="26" name="Picture 26"/>
            <wp:cNvGraphicFramePr>
              <a:graphicFrameLocks noChangeAspect="1"/>
            </wp:cNvGraphicFramePr>
            <a:graphic>
              <a:graphicData uri="http://schemas.openxmlformats.org/drawingml/2006/picture">
                <pic:pic>
                  <pic:nvPicPr>
                    <pic:cNvPr id="0" name="a4fec0f88647b60a4a2853ee7e7c9e9fcff85e2c30d9eddb50bd55ca1ed96df4.png"/>
                    <pic:cNvPicPr/>
                  </pic:nvPicPr>
                  <pic:blipFill>
                    <a:blip r:embed="rId36"/>
                    <a:stretch>
                      <a:fillRect/>
                    </a:stretch>
                  </pic:blipFill>
                  <pic:spPr>
                    <a:xfrm>
                      <a:off x="0" y="0"/>
                      <a:ext cx="1965960" cy="1003601"/>
                    </a:xfrm>
                    <a:prstGeom prst="rect"/>
                  </pic:spPr>
                </pic:pic>
              </a:graphicData>
            </a:graphic>
          </wp:inline>
        </w:drawing>
      </w:r>
    </w:p>
    <w:p>
      <w:pPr>
        <w:spacing w:after="120" w:line="300" w:lineRule="auto"/>
      </w:pPr>
      <w:r>
        <w:rPr>
          <w:rFonts w:ascii="Calibri" w:hAnsi="Calibri"/>
          <w:b w:val="0"/>
          <w:i w:val="0"/>
          <w:sz w:val="22"/>
        </w:rPr>
        <w:t>This is exactly the characteristic matrix of a homogeneous optical layer at normal incidence  For a stack of layers the state matrix is the ordered product</w:t>
      </w:r>
    </w:p>
    <w:p>
      <w:pPr>
        <w:spacing w:before="100" w:after="100"/>
        <w:jc w:val="center"/>
      </w:pPr>
      <w:r>
        <w:drawing>
          <wp:inline xmlns:a="http://schemas.openxmlformats.org/drawingml/2006/main" xmlns:pic="http://schemas.openxmlformats.org/drawingml/2006/picture">
            <wp:extent cx="1965960" cy="903156"/>
            <wp:docPr id="27" name="Picture 27"/>
            <wp:cNvGraphicFramePr>
              <a:graphicFrameLocks noChangeAspect="1"/>
            </wp:cNvGraphicFramePr>
            <a:graphic>
              <a:graphicData uri="http://schemas.openxmlformats.org/drawingml/2006/picture">
                <pic:pic>
                  <pic:nvPicPr>
                    <pic:cNvPr id="0" name="2b6d2f7d2fe72ed98ca86dafcff0a176cedb99a06f04f00a417d815b78f55248.png"/>
                    <pic:cNvPicPr/>
                  </pic:nvPicPr>
                  <pic:blipFill>
                    <a:blip r:embed="rId37"/>
                    <a:stretch>
                      <a:fillRect/>
                    </a:stretch>
                  </pic:blipFill>
                  <pic:spPr>
                    <a:xfrm>
                      <a:off x="0" y="0"/>
                      <a:ext cx="1965960" cy="903156"/>
                    </a:xfrm>
                    <a:prstGeom prst="rect"/>
                  </pic:spPr>
                </pic:pic>
              </a:graphicData>
            </a:graphic>
          </wp:inline>
        </w:drawing>
      </w:r>
    </w:p>
    <w:p>
      <w:pPr>
        <w:spacing w:after="120" w:line="300" w:lineRule="auto"/>
      </w:pPr>
      <w:r>
        <w:rPr>
          <w:rFonts w:ascii="Calibri" w:hAnsi="Calibri"/>
          <w:b w:val="0"/>
          <w:i w:val="0"/>
          <w:sz w:val="22"/>
        </w:rPr>
        <w:t>For incident index n0 and substrate index ns with M entries a b c d</w:t>
      </w:r>
    </w:p>
    <w:p>
      <w:pPr>
        <w:spacing w:before="100" w:after="100"/>
        <w:jc w:val="center"/>
      </w:pPr>
      <w:r>
        <w:drawing>
          <wp:inline xmlns:a="http://schemas.openxmlformats.org/drawingml/2006/main" xmlns:pic="http://schemas.openxmlformats.org/drawingml/2006/picture">
            <wp:extent cx="1965960" cy="222456"/>
            <wp:docPr id="28" name="Picture 28"/>
            <wp:cNvGraphicFramePr>
              <a:graphicFrameLocks noChangeAspect="1"/>
            </wp:cNvGraphicFramePr>
            <a:graphic>
              <a:graphicData uri="http://schemas.openxmlformats.org/drawingml/2006/picture">
                <pic:pic>
                  <pic:nvPicPr>
                    <pic:cNvPr id="0" name="bbfb9c26da7dbb508f3038d741d1eba063d2850acccaa09dfe02e09047d10388.png"/>
                    <pic:cNvPicPr/>
                  </pic:nvPicPr>
                  <pic:blipFill>
                    <a:blip r:embed="rId38"/>
                    <a:stretch>
                      <a:fillRect/>
                    </a:stretch>
                  </pic:blipFill>
                  <pic:spPr>
                    <a:xfrm>
                      <a:off x="0" y="0"/>
                      <a:ext cx="1965960" cy="222456"/>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410629"/>
            <wp:docPr id="29" name="Picture 29"/>
            <wp:cNvGraphicFramePr>
              <a:graphicFrameLocks noChangeAspect="1"/>
            </wp:cNvGraphicFramePr>
            <a:graphic>
              <a:graphicData uri="http://schemas.openxmlformats.org/drawingml/2006/picture">
                <pic:pic>
                  <pic:nvPicPr>
                    <pic:cNvPr id="0" name="ae2d379abaab91bab0a1336199c48b76f12ef3e7e822329e82118f7c1e04d2e9.png"/>
                    <pic:cNvPicPr/>
                  </pic:nvPicPr>
                  <pic:blipFill>
                    <a:blip r:embed="rId39"/>
                    <a:stretch>
                      <a:fillRect/>
                    </a:stretch>
                  </pic:blipFill>
                  <pic:spPr>
                    <a:xfrm>
                      <a:off x="0" y="0"/>
                      <a:ext cx="1965960" cy="410629"/>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1211776"/>
            <wp:docPr id="30" name="Picture 30"/>
            <wp:cNvGraphicFramePr>
              <a:graphicFrameLocks noChangeAspect="1"/>
            </wp:cNvGraphicFramePr>
            <a:graphic>
              <a:graphicData uri="http://schemas.openxmlformats.org/drawingml/2006/picture">
                <pic:pic>
                  <pic:nvPicPr>
                    <pic:cNvPr id="0" name="85ca154810be0355686871fc2f249c2d8c0d33e331806ac638f887c8e8fc58a5.png"/>
                    <pic:cNvPicPr/>
                  </pic:nvPicPr>
                  <pic:blipFill>
                    <a:blip r:embed="rId40"/>
                    <a:stretch>
                      <a:fillRect/>
                    </a:stretch>
                  </pic:blipFill>
                  <pic:spPr>
                    <a:xfrm>
                      <a:off x="0" y="0"/>
                      <a:ext cx="1965960" cy="1211776"/>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447819"/>
            <wp:docPr id="31" name="Picture 31"/>
            <wp:cNvGraphicFramePr>
              <a:graphicFrameLocks noChangeAspect="1"/>
            </wp:cNvGraphicFramePr>
            <a:graphic>
              <a:graphicData uri="http://schemas.openxmlformats.org/drawingml/2006/picture">
                <pic:pic>
                  <pic:nvPicPr>
                    <pic:cNvPr id="0" name="e27306eca716f3956e5fd0e5aed8c1f813680f20dd32cf88885db52045ca3c1f.png"/>
                    <pic:cNvPicPr/>
                  </pic:nvPicPr>
                  <pic:blipFill>
                    <a:blip r:embed="rId41"/>
                    <a:stretch>
                      <a:fillRect/>
                    </a:stretch>
                  </pic:blipFill>
                  <pic:spPr>
                    <a:xfrm>
                      <a:off x="0" y="0"/>
                      <a:ext cx="1965960" cy="447819"/>
                    </a:xfrm>
                    <a:prstGeom prst="rect"/>
                  </pic:spPr>
                </pic:pic>
              </a:graphicData>
            </a:graphic>
          </wp:inline>
        </w:drawing>
      </w:r>
    </w:p>
    <w:p>
      <w:pPr>
        <w:pStyle w:val="Heading2"/>
      </w:pPr>
      <w:r>
        <w:t>6 2  Exact status</w:t>
      </w:r>
    </w:p>
    <w:p>
      <w:pPr>
        <w:spacing w:after="120" w:line="300" w:lineRule="auto"/>
      </w:pPr>
      <w:r>
        <w:rPr>
          <w:rFonts w:ascii="Calibri" w:hAnsi="Calibri"/>
          <w:b w:val="0"/>
          <w:i w:val="0"/>
          <w:sz w:val="22"/>
        </w:rPr>
        <w:t>The implemented NSC optics encoder calls the same layer matrix as the standard transfer matrix method  NSC composition is the same ordered product and its decoder is the same reflectance and transmittance calculation  Exact agreement is therefore established as representational equivalence</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pPr>
              <w:spacing w:after="60"/>
            </w:pPr>
            <w:r>
              <w:rPr>
                <w:rFonts w:ascii="Calibri" w:hAnsi="Calibri"/>
                <w:b/>
                <w:i w:val="0"/>
                <w:color w:val="1F4D78"/>
                <w:sz w:val="22"/>
              </w:rPr>
              <w:t>Not a new optical proof</w:t>
            </w:r>
          </w:p>
          <w:p>
            <w:pPr>
              <w:spacing w:after="0"/>
            </w:pPr>
            <w:r>
              <w:rPr>
                <w:rFonts w:ascii="Calibri" w:hAnsi="Calibri"/>
                <w:b w:val="0"/>
                <w:i w:val="0"/>
                <w:sz w:val="20"/>
              </w:rPr>
              <w:t>The current implementation does not show that NSC is computationally lighter than a specialized transfer matrix solver  It proves that the NSC language can reproduce that solver exactly</w:t>
            </w:r>
          </w:p>
        </w:tc>
      </w:tr>
    </w:tbl>
    <w:p>
      <w:pPr>
        <w:spacing w:after="40"/>
      </w:pPr>
    </w:p>
    <w:p>
      <w:pPr>
        <w:pStyle w:val="Heading2"/>
      </w:pPr>
      <w:r>
        <w:t>6 3  Benchmark sequence A1 through W8</w:t>
      </w:r>
    </w:p>
    <w:tbl>
      <w:tblPr>
        <w:tblW w:type="dxa" w:w="9360"/>
        <w:jc w:val="center"/>
        <w:tblLayout w:type="fixed"/>
        <w:tblLook w:firstColumn="1" w:firstRow="1" w:lastColumn="0" w:lastRow="0" w:noHBand="0" w:noVBand="1" w:val="04A0"/>
        <w:tblInd w:w="120" w:type="dxa"/>
      </w:tblPr>
      <w:tblGrid>
        <w:gridCol w:w="1500"/>
        <w:gridCol w:w="1400"/>
        <w:gridCol w:w="6460"/>
      </w:tblGrid>
      <w:tr>
        <w:tc>
          <w:tcPr>
            <w:tcW w:type="dxa" w:w="1500"/>
            <w:shd w:fill="E8EEF5"/>
            <w:tcMar>
              <w:top w:w="80" w:type="dxa"/>
              <w:start w:w="120" w:type="dxa"/>
              <w:bottom w:w="80" w:type="dxa"/>
              <w:end w:w="120" w:type="dxa"/>
            </w:tcMar>
            <w:vAlign w:val="center"/>
          </w:tcPr>
          <w:p>
            <w:pPr>
              <w:spacing w:after="0"/>
            </w:pPr>
            <w:r>
              <w:rPr>
                <w:rFonts w:ascii="Calibri" w:hAnsi="Calibri"/>
                <w:b/>
                <w:i w:val="0"/>
                <w:color w:val="1F4D78"/>
                <w:sz w:val="18"/>
              </w:rPr>
              <w:t>Stage</w:t>
            </w:r>
          </w:p>
        </w:tc>
        <w:tc>
          <w:tcPr>
            <w:tcW w:type="dxa" w:w="1400"/>
            <w:shd w:fill="E8EEF5"/>
            <w:tcMar>
              <w:top w:w="80" w:type="dxa"/>
              <w:start w:w="120" w:type="dxa"/>
              <w:bottom w:w="80" w:type="dxa"/>
              <w:end w:w="120" w:type="dxa"/>
            </w:tcMar>
            <w:vAlign w:val="center"/>
          </w:tcPr>
          <w:p>
            <w:pPr>
              <w:spacing w:after="0"/>
            </w:pPr>
            <w:r>
              <w:rPr>
                <w:rFonts w:ascii="Calibri" w:hAnsi="Calibri"/>
                <w:b/>
                <w:i w:val="0"/>
                <w:color w:val="1F4D78"/>
                <w:sz w:val="18"/>
              </w:rPr>
              <w:t>Verdict</w:t>
            </w:r>
          </w:p>
        </w:tc>
        <w:tc>
          <w:tcPr>
            <w:tcW w:type="dxa" w:w="6460"/>
            <w:shd w:fill="E8EEF5"/>
            <w:tcMar>
              <w:top w:w="80" w:type="dxa"/>
              <w:start w:w="120" w:type="dxa"/>
              <w:bottom w:w="80" w:type="dxa"/>
              <w:end w:w="120" w:type="dxa"/>
            </w:tcMar>
            <w:vAlign w:val="center"/>
          </w:tcPr>
          <w:p>
            <w:pPr>
              <w:spacing w:after="0"/>
            </w:pPr>
            <w:r>
              <w:rPr>
                <w:rFonts w:ascii="Calibri" w:hAnsi="Calibri"/>
                <w:b/>
                <w:i w:val="0"/>
                <w:color w:val="1F4D78"/>
                <w:sz w:val="18"/>
              </w:rPr>
              <w:t>Meaning</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A1 v0.1</w:t>
            </w:r>
          </w:p>
        </w:tc>
        <w:tc>
          <w:tcPr>
            <w:tcW w:type="dxa" w:w="1400"/>
            <w:tcMar>
              <w:top w:w="80" w:type="dxa"/>
              <w:start w:w="120" w:type="dxa"/>
              <w:bottom w:w="80" w:type="dxa"/>
              <w:end w:w="120" w:type="dxa"/>
            </w:tcMar>
            <w:vAlign w:val="center"/>
          </w:tcPr>
          <w:p>
            <w:pPr>
              <w:spacing w:after="0"/>
            </w:pPr>
            <w:r>
              <w:rPr>
                <w:rFonts w:ascii="Calibri" w:hAnsi="Calibri"/>
                <w:b w:val="0"/>
                <w:i w:val="0"/>
                <w:sz w:val="18"/>
              </w:rPr>
              <w:t>FAIL</w:t>
            </w:r>
          </w:p>
        </w:tc>
        <w:tc>
          <w:tcPr>
            <w:tcW w:type="dxa" w:w="6460"/>
            <w:tcMar>
              <w:top w:w="80" w:type="dxa"/>
              <w:start w:w="120" w:type="dxa"/>
              <w:bottom w:w="80" w:type="dxa"/>
              <w:end w:w="120" w:type="dxa"/>
            </w:tcMar>
            <w:vAlign w:val="center"/>
          </w:tcPr>
          <w:p>
            <w:pPr>
              <w:spacing w:after="0"/>
            </w:pPr>
            <w:r>
              <w:rPr>
                <w:rFonts w:ascii="Calibri" w:hAnsi="Calibri"/>
                <w:b w:val="0"/>
                <w:i w:val="0"/>
                <w:sz w:val="18"/>
              </w:rPr>
              <w:t>Weak scale protocol defect</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A1 v0.2</w:t>
            </w:r>
          </w:p>
        </w:tc>
        <w:tc>
          <w:tcPr>
            <w:tcW w:type="dxa" w:w="1400"/>
            <w:tcMar>
              <w:top w:w="80" w:type="dxa"/>
              <w:start w:w="120" w:type="dxa"/>
              <w:bottom w:w="80" w:type="dxa"/>
              <w:end w:w="120" w:type="dxa"/>
            </w:tcMar>
            <w:vAlign w:val="center"/>
          </w:tcPr>
          <w:p>
            <w:pPr>
              <w:spacing w:after="0"/>
            </w:pPr>
            <w:r>
              <w:rPr>
                <w:rFonts w:ascii="Calibri" w:hAnsi="Calibri"/>
                <w:b w:val="0"/>
                <w:i w:val="0"/>
                <w:sz w:val="18"/>
              </w:rPr>
              <w:t>PASS</w:t>
            </w:r>
          </w:p>
        </w:tc>
        <w:tc>
          <w:tcPr>
            <w:tcW w:type="dxa" w:w="6460"/>
            <w:tcMar>
              <w:top w:w="80" w:type="dxa"/>
              <w:start w:w="120" w:type="dxa"/>
              <w:bottom w:w="80" w:type="dxa"/>
              <w:end w:w="120" w:type="dxa"/>
            </w:tcMar>
            <w:vAlign w:val="center"/>
          </w:tcPr>
          <w:p>
            <w:pPr>
              <w:spacing w:after="0"/>
            </w:pPr>
            <w:r>
              <w:rPr>
                <w:rFonts w:ascii="Calibri" w:hAnsi="Calibri"/>
                <w:b w:val="0"/>
                <w:i w:val="0"/>
                <w:sz w:val="18"/>
              </w:rPr>
              <w:t>Representational equivalence only</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W1</w:t>
            </w:r>
          </w:p>
        </w:tc>
        <w:tc>
          <w:tcPr>
            <w:tcW w:type="dxa" w:w="1400"/>
            <w:tcMar>
              <w:top w:w="80" w:type="dxa"/>
              <w:start w:w="120" w:type="dxa"/>
              <w:bottom w:w="80" w:type="dxa"/>
              <w:end w:w="120" w:type="dxa"/>
            </w:tcMar>
            <w:vAlign w:val="center"/>
          </w:tcPr>
          <w:p>
            <w:pPr>
              <w:spacing w:after="0"/>
            </w:pPr>
            <w:r>
              <w:rPr>
                <w:rFonts w:ascii="Calibri" w:hAnsi="Calibri"/>
                <w:b w:val="0"/>
                <w:i w:val="0"/>
                <w:sz w:val="18"/>
              </w:rPr>
              <w:t>PASS</w:t>
            </w:r>
          </w:p>
        </w:tc>
        <w:tc>
          <w:tcPr>
            <w:tcW w:type="dxa" w:w="6460"/>
            <w:tcMar>
              <w:top w:w="80" w:type="dxa"/>
              <w:start w:w="120" w:type="dxa"/>
              <w:bottom w:w="80" w:type="dxa"/>
              <w:end w:w="120" w:type="dxa"/>
            </w:tcMar>
            <w:vAlign w:val="center"/>
          </w:tcPr>
          <w:p>
            <w:pPr>
              <w:spacing w:after="0"/>
            </w:pPr>
            <w:r>
              <w:rPr>
                <w:rFonts w:ascii="Calibri" w:hAnsi="Calibri"/>
                <w:b w:val="0"/>
                <w:i w:val="0"/>
                <w:sz w:val="18"/>
              </w:rPr>
              <w:t>Physics informed representation advantage</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W2 v0.1</w:t>
            </w:r>
          </w:p>
        </w:tc>
        <w:tc>
          <w:tcPr>
            <w:tcW w:type="dxa" w:w="1400"/>
            <w:tcMar>
              <w:top w:w="80" w:type="dxa"/>
              <w:start w:w="120" w:type="dxa"/>
              <w:bottom w:w="80" w:type="dxa"/>
              <w:end w:w="120" w:type="dxa"/>
            </w:tcMar>
            <w:vAlign w:val="center"/>
          </w:tcPr>
          <w:p>
            <w:pPr>
              <w:spacing w:after="0"/>
            </w:pPr>
            <w:r>
              <w:rPr>
                <w:rFonts w:ascii="Calibri" w:hAnsi="Calibri"/>
                <w:b w:val="0"/>
                <w:i w:val="0"/>
                <w:sz w:val="18"/>
              </w:rPr>
              <w:t>FAIL</w:t>
            </w:r>
          </w:p>
        </w:tc>
        <w:tc>
          <w:tcPr>
            <w:tcW w:type="dxa" w:w="6460"/>
            <w:tcMar>
              <w:top w:w="80" w:type="dxa"/>
              <w:start w:w="120" w:type="dxa"/>
              <w:bottom w:w="80" w:type="dxa"/>
              <w:end w:w="120" w:type="dxa"/>
            </w:tcMar>
            <w:vAlign w:val="center"/>
          </w:tcPr>
          <w:p>
            <w:pPr>
              <w:spacing w:after="0"/>
            </w:pPr>
            <w:r>
              <w:rPr>
                <w:rFonts w:ascii="Calibri" w:hAnsi="Calibri"/>
                <w:b w:val="0"/>
                <w:i w:val="0"/>
                <w:sz w:val="18"/>
              </w:rPr>
              <w:t>Local minimum</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W2 v0.2</w:t>
            </w:r>
          </w:p>
        </w:tc>
        <w:tc>
          <w:tcPr>
            <w:tcW w:type="dxa" w:w="1400"/>
            <w:tcMar>
              <w:top w:w="80" w:type="dxa"/>
              <w:start w:w="120" w:type="dxa"/>
              <w:bottom w:w="80" w:type="dxa"/>
              <w:end w:w="120" w:type="dxa"/>
            </w:tcMar>
            <w:vAlign w:val="center"/>
          </w:tcPr>
          <w:p>
            <w:pPr>
              <w:spacing w:after="0"/>
            </w:pPr>
            <w:r>
              <w:rPr>
                <w:rFonts w:ascii="Calibri" w:hAnsi="Calibri"/>
                <w:b w:val="0"/>
                <w:i w:val="0"/>
                <w:sz w:val="18"/>
              </w:rPr>
              <w:t>INVALID</w:t>
            </w:r>
          </w:p>
        </w:tc>
        <w:tc>
          <w:tcPr>
            <w:tcW w:type="dxa" w:w="6460"/>
            <w:tcMar>
              <w:top w:w="80" w:type="dxa"/>
              <w:start w:w="120" w:type="dxa"/>
              <w:bottom w:w="80" w:type="dxa"/>
              <w:end w:w="120" w:type="dxa"/>
            </w:tcMar>
            <w:vAlign w:val="center"/>
          </w:tcPr>
          <w:p>
            <w:pPr>
              <w:spacing w:after="0"/>
            </w:pPr>
            <w:r>
              <w:rPr>
                <w:rFonts w:ascii="Calibri" w:hAnsi="Calibri"/>
                <w:b w:val="0"/>
                <w:i w:val="0"/>
                <w:sz w:val="18"/>
              </w:rPr>
              <w:t>Exact target included as a start</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W2 v0.3</w:t>
            </w:r>
          </w:p>
        </w:tc>
        <w:tc>
          <w:tcPr>
            <w:tcW w:type="dxa" w:w="1400"/>
            <w:tcMar>
              <w:top w:w="80" w:type="dxa"/>
              <w:start w:w="120" w:type="dxa"/>
              <w:bottom w:w="80" w:type="dxa"/>
              <w:end w:w="120" w:type="dxa"/>
            </w:tcMar>
            <w:vAlign w:val="center"/>
          </w:tcPr>
          <w:p>
            <w:pPr>
              <w:spacing w:after="0"/>
            </w:pPr>
            <w:r>
              <w:rPr>
                <w:rFonts w:ascii="Calibri" w:hAnsi="Calibri"/>
                <w:b w:val="0"/>
                <w:i w:val="0"/>
                <w:sz w:val="18"/>
              </w:rPr>
              <w:t>PASS</w:t>
            </w:r>
          </w:p>
        </w:tc>
        <w:tc>
          <w:tcPr>
            <w:tcW w:type="dxa" w:w="6460"/>
            <w:tcMar>
              <w:top w:w="80" w:type="dxa"/>
              <w:start w:w="120" w:type="dxa"/>
              <w:bottom w:w="80" w:type="dxa"/>
              <w:end w:w="120" w:type="dxa"/>
            </w:tcMar>
            <w:vAlign w:val="center"/>
          </w:tcPr>
          <w:p>
            <w:pPr>
              <w:spacing w:after="0"/>
            </w:pPr>
            <w:r>
              <w:rPr>
                <w:rFonts w:ascii="Calibri" w:hAnsi="Calibri"/>
                <w:b w:val="0"/>
                <w:i w:val="0"/>
                <w:sz w:val="18"/>
              </w:rPr>
              <w:t>Anti leakage recovery</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W3</w:t>
            </w:r>
          </w:p>
        </w:tc>
        <w:tc>
          <w:tcPr>
            <w:tcW w:type="dxa" w:w="1400"/>
            <w:tcMar>
              <w:top w:w="80" w:type="dxa"/>
              <w:start w:w="120" w:type="dxa"/>
              <w:bottom w:w="80" w:type="dxa"/>
              <w:end w:w="120" w:type="dxa"/>
            </w:tcMar>
            <w:vAlign w:val="center"/>
          </w:tcPr>
          <w:p>
            <w:pPr>
              <w:spacing w:after="0"/>
            </w:pPr>
            <w:r>
              <w:rPr>
                <w:rFonts w:ascii="Calibri" w:hAnsi="Calibri"/>
                <w:b w:val="0"/>
                <w:i w:val="0"/>
                <w:sz w:val="18"/>
              </w:rPr>
              <w:t>PASS</w:t>
            </w:r>
          </w:p>
        </w:tc>
        <w:tc>
          <w:tcPr>
            <w:tcW w:type="dxa" w:w="6460"/>
            <w:tcMar>
              <w:top w:w="80" w:type="dxa"/>
              <w:start w:w="120" w:type="dxa"/>
              <w:bottom w:w="80" w:type="dxa"/>
              <w:end w:w="120" w:type="dxa"/>
            </w:tcMar>
            <w:vAlign w:val="center"/>
          </w:tcPr>
          <w:p>
            <w:pPr>
              <w:spacing w:after="0"/>
            </w:pPr>
            <w:r>
              <w:rPr>
                <w:rFonts w:ascii="Calibri" w:hAnsi="Calibri"/>
                <w:b w:val="0"/>
                <w:i w:val="0"/>
                <w:sz w:val="18"/>
              </w:rPr>
              <w:t>Free function recovery of q(n)=n</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W4</w:t>
            </w:r>
          </w:p>
        </w:tc>
        <w:tc>
          <w:tcPr>
            <w:tcW w:type="dxa" w:w="1400"/>
            <w:tcMar>
              <w:top w:w="80" w:type="dxa"/>
              <w:start w:w="120" w:type="dxa"/>
              <w:bottom w:w="80" w:type="dxa"/>
              <w:end w:w="120" w:type="dxa"/>
            </w:tcMar>
            <w:vAlign w:val="center"/>
          </w:tcPr>
          <w:p>
            <w:pPr>
              <w:spacing w:after="0"/>
            </w:pPr>
            <w:r>
              <w:rPr>
                <w:rFonts w:ascii="Calibri" w:hAnsi="Calibri"/>
                <w:b w:val="0"/>
                <w:i w:val="0"/>
                <w:sz w:val="18"/>
              </w:rPr>
              <w:t>PASS</w:t>
            </w:r>
          </w:p>
        </w:tc>
        <w:tc>
          <w:tcPr>
            <w:tcW w:type="dxa" w:w="6460"/>
            <w:tcMar>
              <w:top w:w="80" w:type="dxa"/>
              <w:start w:w="120" w:type="dxa"/>
              <w:bottom w:w="80" w:type="dxa"/>
              <w:end w:w="120" w:type="dxa"/>
            </w:tcMar>
            <w:vAlign w:val="center"/>
          </w:tcPr>
          <w:p>
            <w:pPr>
              <w:spacing w:after="0"/>
            </w:pPr>
            <w:r>
              <w:rPr>
                <w:rFonts w:ascii="Calibri" w:hAnsi="Calibri"/>
                <w:b w:val="0"/>
                <w:i w:val="0"/>
                <w:sz w:val="18"/>
              </w:rPr>
              <w:t>Phase law and 2π scale recovery</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W5 v0.1</w:t>
            </w:r>
          </w:p>
        </w:tc>
        <w:tc>
          <w:tcPr>
            <w:tcW w:type="dxa" w:w="1400"/>
            <w:tcMar>
              <w:top w:w="80" w:type="dxa"/>
              <w:start w:w="120" w:type="dxa"/>
              <w:bottom w:w="80" w:type="dxa"/>
              <w:end w:w="120" w:type="dxa"/>
            </w:tcMar>
            <w:vAlign w:val="center"/>
          </w:tcPr>
          <w:p>
            <w:pPr>
              <w:spacing w:after="0"/>
            </w:pPr>
            <w:r>
              <w:rPr>
                <w:rFonts w:ascii="Calibri" w:hAnsi="Calibri"/>
                <w:b w:val="0"/>
                <w:i w:val="0"/>
                <w:sz w:val="18"/>
              </w:rPr>
              <w:t>FAIL</w:t>
            </w:r>
          </w:p>
        </w:tc>
        <w:tc>
          <w:tcPr>
            <w:tcW w:type="dxa" w:w="6460"/>
            <w:tcMar>
              <w:top w:w="80" w:type="dxa"/>
              <w:start w:w="120" w:type="dxa"/>
              <w:bottom w:w="80" w:type="dxa"/>
              <w:end w:w="120" w:type="dxa"/>
            </w:tcMar>
            <w:vAlign w:val="center"/>
          </w:tcPr>
          <w:p>
            <w:pPr>
              <w:spacing w:after="0"/>
            </w:pPr>
            <w:r>
              <w:rPr>
                <w:rFonts w:ascii="Calibri" w:hAnsi="Calibri"/>
                <w:b w:val="0"/>
                <w:i w:val="0"/>
                <w:sz w:val="18"/>
              </w:rPr>
              <w:t>Linear extrapolation instability</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W5 A and B</w:t>
            </w:r>
          </w:p>
        </w:tc>
        <w:tc>
          <w:tcPr>
            <w:tcW w:type="dxa" w:w="1400"/>
            <w:tcMar>
              <w:top w:w="80" w:type="dxa"/>
              <w:start w:w="120" w:type="dxa"/>
              <w:bottom w:w="80" w:type="dxa"/>
              <w:end w:w="120" w:type="dxa"/>
            </w:tcMar>
            <w:vAlign w:val="center"/>
          </w:tcPr>
          <w:p>
            <w:pPr>
              <w:spacing w:after="0"/>
            </w:pPr>
            <w:r>
              <w:rPr>
                <w:rFonts w:ascii="Calibri" w:hAnsi="Calibri"/>
                <w:b w:val="0"/>
                <w:i w:val="0"/>
                <w:sz w:val="18"/>
              </w:rPr>
              <w:t>PASS PASS</w:t>
            </w:r>
          </w:p>
        </w:tc>
        <w:tc>
          <w:tcPr>
            <w:tcW w:type="dxa" w:w="6460"/>
            <w:tcMar>
              <w:top w:w="80" w:type="dxa"/>
              <w:start w:w="120" w:type="dxa"/>
              <w:bottom w:w="80" w:type="dxa"/>
              <w:end w:w="120" w:type="dxa"/>
            </w:tcMar>
            <w:vAlign w:val="center"/>
          </w:tcPr>
          <w:p>
            <w:pPr>
              <w:spacing w:after="0"/>
            </w:pPr>
            <w:r>
              <w:rPr>
                <w:rFonts w:ascii="Calibri" w:hAnsi="Calibri"/>
                <w:b w:val="0"/>
                <w:i w:val="0"/>
                <w:sz w:val="18"/>
              </w:rPr>
              <w:t>Operator recovery and independent seed</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W6 v0.1 v0.2</w:t>
            </w:r>
          </w:p>
        </w:tc>
        <w:tc>
          <w:tcPr>
            <w:tcW w:type="dxa" w:w="1400"/>
            <w:tcMar>
              <w:top w:w="80" w:type="dxa"/>
              <w:start w:w="120" w:type="dxa"/>
              <w:bottom w:w="80" w:type="dxa"/>
              <w:end w:w="120" w:type="dxa"/>
            </w:tcMar>
            <w:vAlign w:val="center"/>
          </w:tcPr>
          <w:p>
            <w:pPr>
              <w:spacing w:after="0"/>
            </w:pPr>
            <w:r>
              <w:rPr>
                <w:rFonts w:ascii="Calibri" w:hAnsi="Calibri"/>
                <w:b w:val="0"/>
                <w:i w:val="0"/>
                <w:sz w:val="18"/>
              </w:rPr>
              <w:t>PASS PASS</w:t>
            </w:r>
          </w:p>
        </w:tc>
        <w:tc>
          <w:tcPr>
            <w:tcW w:type="dxa" w:w="6460"/>
            <w:tcMar>
              <w:top w:w="80" w:type="dxa"/>
              <w:start w:w="120" w:type="dxa"/>
              <w:bottom w:w="80" w:type="dxa"/>
              <w:end w:w="120" w:type="dxa"/>
            </w:tcMar>
            <w:vAlign w:val="center"/>
          </w:tcPr>
          <w:p>
            <w:pPr>
              <w:spacing w:after="0"/>
            </w:pPr>
            <w:r>
              <w:rPr>
                <w:rFonts w:ascii="Calibri" w:hAnsi="Calibri"/>
                <w:b w:val="0"/>
                <w:i w:val="0"/>
                <w:sz w:val="18"/>
              </w:rPr>
              <w:t>Hidden generator from observables</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W7 v0.1 v0.2</w:t>
            </w:r>
          </w:p>
        </w:tc>
        <w:tc>
          <w:tcPr>
            <w:tcW w:type="dxa" w:w="1400"/>
            <w:tcMar>
              <w:top w:w="80" w:type="dxa"/>
              <w:start w:w="120" w:type="dxa"/>
              <w:bottom w:w="80" w:type="dxa"/>
              <w:end w:w="120" w:type="dxa"/>
            </w:tcMar>
            <w:vAlign w:val="center"/>
          </w:tcPr>
          <w:p>
            <w:pPr>
              <w:spacing w:after="0"/>
            </w:pPr>
            <w:r>
              <w:rPr>
                <w:rFonts w:ascii="Calibri" w:hAnsi="Calibri"/>
                <w:b w:val="0"/>
                <w:i w:val="0"/>
                <w:sz w:val="18"/>
              </w:rPr>
              <w:t>FAIL FAIL</w:t>
            </w:r>
          </w:p>
        </w:tc>
        <w:tc>
          <w:tcPr>
            <w:tcW w:type="dxa" w:w="6460"/>
            <w:tcMar>
              <w:top w:w="80" w:type="dxa"/>
              <w:start w:w="120" w:type="dxa"/>
              <w:bottom w:w="80" w:type="dxa"/>
              <w:end w:w="120" w:type="dxa"/>
            </w:tcMar>
            <w:vAlign w:val="center"/>
          </w:tcPr>
          <w:p>
            <w:pPr>
              <w:spacing w:after="0"/>
            </w:pPr>
            <w:r>
              <w:rPr>
                <w:rFonts w:ascii="Calibri" w:hAnsi="Calibri"/>
                <w:b w:val="0"/>
                <w:i w:val="0"/>
                <w:sz w:val="18"/>
              </w:rPr>
              <w:t>Noise and extrapolation instability</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W7 R A and B</w:t>
            </w:r>
          </w:p>
        </w:tc>
        <w:tc>
          <w:tcPr>
            <w:tcW w:type="dxa" w:w="1400"/>
            <w:tcMar>
              <w:top w:w="80" w:type="dxa"/>
              <w:start w:w="120" w:type="dxa"/>
              <w:bottom w:w="80" w:type="dxa"/>
              <w:end w:w="120" w:type="dxa"/>
            </w:tcMar>
            <w:vAlign w:val="center"/>
          </w:tcPr>
          <w:p>
            <w:pPr>
              <w:spacing w:after="0"/>
            </w:pPr>
            <w:r>
              <w:rPr>
                <w:rFonts w:ascii="Calibri" w:hAnsi="Calibri"/>
                <w:b w:val="0"/>
                <w:i w:val="0"/>
                <w:sz w:val="18"/>
              </w:rPr>
              <w:t>PASS PASS</w:t>
            </w:r>
          </w:p>
        </w:tc>
        <w:tc>
          <w:tcPr>
            <w:tcW w:type="dxa" w:w="6460"/>
            <w:tcMar>
              <w:top w:w="80" w:type="dxa"/>
              <w:start w:w="120" w:type="dxa"/>
              <w:bottom w:w="80" w:type="dxa"/>
              <w:end w:w="120" w:type="dxa"/>
            </w:tcMar>
            <w:vAlign w:val="center"/>
          </w:tcPr>
          <w:p>
            <w:pPr>
              <w:spacing w:after="0"/>
            </w:pPr>
            <w:r>
              <w:rPr>
                <w:rFonts w:ascii="Calibri" w:hAnsi="Calibri"/>
                <w:b w:val="0"/>
                <w:i w:val="0"/>
                <w:sz w:val="18"/>
              </w:rPr>
              <w:t>Frozen bc=1 invariant restored robustness</w:t>
            </w:r>
          </w:p>
        </w:tc>
      </w:tr>
      <w:tr>
        <w:tc>
          <w:tcPr>
            <w:tcW w:type="dxa" w:w="1500"/>
            <w:tcMar>
              <w:top w:w="80" w:type="dxa"/>
              <w:start w:w="120" w:type="dxa"/>
              <w:bottom w:w="80" w:type="dxa"/>
              <w:end w:w="120" w:type="dxa"/>
            </w:tcMar>
            <w:vAlign w:val="center"/>
          </w:tcPr>
          <w:p>
            <w:pPr>
              <w:spacing w:after="0"/>
            </w:pPr>
            <w:r>
              <w:rPr>
                <w:rFonts w:ascii="Calibri" w:hAnsi="Calibri"/>
                <w:b w:val="0"/>
                <w:i w:val="0"/>
                <w:sz w:val="18"/>
              </w:rPr>
              <w:t>W8 v0.1 v0.2</w:t>
            </w:r>
          </w:p>
        </w:tc>
        <w:tc>
          <w:tcPr>
            <w:tcW w:type="dxa" w:w="1400"/>
            <w:tcMar>
              <w:top w:w="80" w:type="dxa"/>
              <w:start w:w="120" w:type="dxa"/>
              <w:bottom w:w="80" w:type="dxa"/>
              <w:end w:w="120" w:type="dxa"/>
            </w:tcMar>
            <w:vAlign w:val="center"/>
          </w:tcPr>
          <w:p>
            <w:pPr>
              <w:spacing w:after="0"/>
            </w:pPr>
            <w:r>
              <w:rPr>
                <w:rFonts w:ascii="Calibri" w:hAnsi="Calibri"/>
                <w:b w:val="0"/>
                <w:i w:val="0"/>
                <w:sz w:val="18"/>
              </w:rPr>
              <w:t>PASS PASS</w:t>
            </w:r>
          </w:p>
        </w:tc>
        <w:tc>
          <w:tcPr>
            <w:tcW w:type="dxa" w:w="6460"/>
            <w:tcMar>
              <w:top w:w="80" w:type="dxa"/>
              <w:start w:w="120" w:type="dxa"/>
              <w:bottom w:w="80" w:type="dxa"/>
              <w:end w:w="120" w:type="dxa"/>
            </w:tcMar>
            <w:vAlign w:val="center"/>
          </w:tcPr>
          <w:p>
            <w:pPr>
              <w:spacing w:after="0"/>
            </w:pPr>
            <w:r>
              <w:rPr>
                <w:rFonts w:ascii="Calibri" w:hAnsi="Calibri"/>
                <w:b w:val="0"/>
                <w:i w:val="0"/>
                <w:sz w:val="18"/>
              </w:rPr>
              <w:t>Hidden absorption and blind spectral gap</w:t>
            </w:r>
          </w:p>
        </w:tc>
      </w:tr>
    </w:tbl>
    <w:p>
      <w:pPr>
        <w:spacing w:after="0"/>
      </w:pPr>
    </w:p>
    <w:p>
      <w:pPr>
        <w:spacing w:after="120" w:line="300" w:lineRule="auto"/>
      </w:pPr>
      <w:r>
        <w:rPr>
          <w:rFonts w:ascii="Calibri" w:hAnsi="Calibri"/>
          <w:b w:val="0"/>
          <w:i w:val="0"/>
          <w:sz w:val="22"/>
        </w:rPr>
        <w:t>W8 used a hidden extinction function k of wavelength measurement noise and a blind interval from 620 to 700 nanometers  Independent seed replication recovered the absorption channel with blind RMSE near 0.0031 in the earlier locked runs  This remains synthetic validation rather than laboratory evidence</w:t>
      </w:r>
    </w:p>
    <w:p>
      <w:pPr>
        <w:pStyle w:val="Heading1"/>
      </w:pPr>
      <w:r>
        <w:t>7  One Dimensional Relativistic Transport</w:t>
      </w:r>
    </w:p>
    <w:p>
      <w:pPr>
        <w:pStyle w:val="Heading2"/>
      </w:pPr>
      <w:r>
        <w:t>7 1  Hyperbolic generator</w:t>
      </w:r>
    </w:p>
    <w:p>
      <w:pPr>
        <w:spacing w:before="100" w:after="100"/>
        <w:jc w:val="center"/>
      </w:pPr>
      <w:r>
        <w:drawing>
          <wp:inline xmlns:a="http://schemas.openxmlformats.org/drawingml/2006/main" xmlns:pic="http://schemas.openxmlformats.org/drawingml/2006/picture">
            <wp:extent cx="3851452" cy="860194"/>
            <wp:docPr id="32" name="Picture 32"/>
            <wp:cNvGraphicFramePr>
              <a:graphicFrameLocks noChangeAspect="1"/>
            </wp:cNvGraphicFramePr>
            <a:graphic>
              <a:graphicData uri="http://schemas.openxmlformats.org/drawingml/2006/picture">
                <pic:pic>
                  <pic:nvPicPr>
                    <pic:cNvPr id="0" name="e946cf770fbc9127eb2700c5d5c23d40e345209aa5623e56aeea139d9259ccf5.png"/>
                    <pic:cNvPicPr/>
                  </pic:nvPicPr>
                  <pic:blipFill>
                    <a:blip r:embed="rId42"/>
                    <a:stretch>
                      <a:fillRect/>
                    </a:stretch>
                  </pic:blipFill>
                  <pic:spPr>
                    <a:xfrm>
                      <a:off x="0" y="0"/>
                      <a:ext cx="3851452" cy="860194"/>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4849977" cy="906810"/>
            <wp:docPr id="33" name="Picture 33"/>
            <wp:cNvGraphicFramePr>
              <a:graphicFrameLocks noChangeAspect="1"/>
            </wp:cNvGraphicFramePr>
            <a:graphic>
              <a:graphicData uri="http://schemas.openxmlformats.org/drawingml/2006/picture">
                <pic:pic>
                  <pic:nvPicPr>
                    <pic:cNvPr id="0" name="bb22b211d9ab69a27966738e13d022009fd06e1f4a7e64c1390c3bf967fff690.png"/>
                    <pic:cNvPicPr/>
                  </pic:nvPicPr>
                  <pic:blipFill>
                    <a:blip r:embed="rId43"/>
                    <a:stretch>
                      <a:fillRect/>
                    </a:stretch>
                  </pic:blipFill>
                  <pic:spPr>
                    <a:xfrm>
                      <a:off x="0" y="0"/>
                      <a:ext cx="4849977" cy="906810"/>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398627"/>
            <wp:docPr id="34" name="Picture 34"/>
            <wp:cNvGraphicFramePr>
              <a:graphicFrameLocks noChangeAspect="1"/>
            </wp:cNvGraphicFramePr>
            <a:graphic>
              <a:graphicData uri="http://schemas.openxmlformats.org/drawingml/2006/picture">
                <pic:pic>
                  <pic:nvPicPr>
                    <pic:cNvPr id="0" name="586129d5a34ffc66a3416ffbbb92a23d55424cf79788fc99ac172151314441e3.png"/>
                    <pic:cNvPicPr/>
                  </pic:nvPicPr>
                  <pic:blipFill>
                    <a:blip r:embed="rId44"/>
                    <a:stretch>
                      <a:fillRect/>
                    </a:stretch>
                  </pic:blipFill>
                  <pic:spPr>
                    <a:xfrm>
                      <a:off x="0" y="0"/>
                      <a:ext cx="1965960" cy="398627"/>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378369"/>
            <wp:docPr id="35" name="Picture 35"/>
            <wp:cNvGraphicFramePr>
              <a:graphicFrameLocks noChangeAspect="1"/>
            </wp:cNvGraphicFramePr>
            <a:graphic>
              <a:graphicData uri="http://schemas.openxmlformats.org/drawingml/2006/picture">
                <pic:pic>
                  <pic:nvPicPr>
                    <pic:cNvPr id="0" name="766c9a68c0743d828fdb3323c8eed936e3b771bd499541b2a98dd2d81c9a7d02.png"/>
                    <pic:cNvPicPr/>
                  </pic:nvPicPr>
                  <pic:blipFill>
                    <a:blip r:embed="rId45"/>
                    <a:stretch>
                      <a:fillRect/>
                    </a:stretch>
                  </pic:blipFill>
                  <pic:spPr>
                    <a:xfrm>
                      <a:off x="0" y="0"/>
                      <a:ext cx="1965960" cy="378369"/>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384292"/>
            <wp:docPr id="36" name="Picture 36"/>
            <wp:cNvGraphicFramePr>
              <a:graphicFrameLocks noChangeAspect="1"/>
            </wp:cNvGraphicFramePr>
            <a:graphic>
              <a:graphicData uri="http://schemas.openxmlformats.org/drawingml/2006/picture">
                <pic:pic>
                  <pic:nvPicPr>
                    <pic:cNvPr id="0" name="4eaf21a3ff2a16167984915c214ccdf7db40316652e718516dfdbc6c82846eb0.png"/>
                    <pic:cNvPicPr/>
                  </pic:nvPicPr>
                  <pic:blipFill>
                    <a:blip r:embed="rId46"/>
                    <a:stretch>
                      <a:fillRect/>
                    </a:stretch>
                  </pic:blipFill>
                  <pic:spPr>
                    <a:xfrm>
                      <a:off x="0" y="0"/>
                      <a:ext cx="1965960" cy="384292"/>
                    </a:xfrm>
                    <a:prstGeom prst="rect"/>
                  </pic:spPr>
                </pic:pic>
              </a:graphicData>
            </a:graphic>
          </wp:inline>
        </w:drawing>
      </w:r>
    </w:p>
    <w:p>
      <w:pPr>
        <w:spacing w:after="120" w:line="300" w:lineRule="auto"/>
      </w:pPr>
      <w:r>
        <w:rPr>
          <w:rFonts w:ascii="Calibri" w:hAnsi="Calibri"/>
          <w:b w:val="0"/>
          <w:i w:val="0"/>
          <w:sz w:val="22"/>
        </w:rPr>
        <w:t>For X equal to the column vector A B the invariant is</w:t>
      </w:r>
    </w:p>
    <w:p>
      <w:pPr>
        <w:spacing w:before="100" w:after="100"/>
        <w:jc w:val="center"/>
      </w:pPr>
      <w:r>
        <w:drawing>
          <wp:inline xmlns:a="http://schemas.openxmlformats.org/drawingml/2006/main" xmlns:pic="http://schemas.openxmlformats.org/drawingml/2006/picture">
            <wp:extent cx="1965960" cy="430359"/>
            <wp:docPr id="37" name="Picture 37"/>
            <wp:cNvGraphicFramePr>
              <a:graphicFrameLocks noChangeAspect="1"/>
            </wp:cNvGraphicFramePr>
            <a:graphic>
              <a:graphicData uri="http://schemas.openxmlformats.org/drawingml/2006/picture">
                <pic:pic>
                  <pic:nvPicPr>
                    <pic:cNvPr id="0" name="60afad2eeb2d8c483345746ccf9c0f1e164db567cc3713e3cdb15eb8a058d3c4.png"/>
                    <pic:cNvPicPr/>
                  </pic:nvPicPr>
                  <pic:blipFill>
                    <a:blip r:embed="rId47"/>
                    <a:stretch>
                      <a:fillRect/>
                    </a:stretch>
                  </pic:blipFill>
                  <pic:spPr>
                    <a:xfrm>
                      <a:off x="0" y="0"/>
                      <a:ext cx="1965960" cy="430359"/>
                    </a:xfrm>
                    <a:prstGeom prst="rect"/>
                  </pic:spPr>
                </pic:pic>
              </a:graphicData>
            </a:graphic>
          </wp:inline>
        </w:drawing>
      </w:r>
    </w:p>
    <w:p>
      <w:pPr>
        <w:spacing w:after="120" w:line="300" w:lineRule="auto"/>
      </w:pPr>
      <w:r>
        <w:rPr>
          <w:rFonts w:ascii="Calibri" w:hAnsi="Calibri"/>
          <w:b w:val="0"/>
          <w:i w:val="0"/>
          <w:sz w:val="22"/>
        </w:rPr>
        <w:t>Using light cone coordinates R equal to A plus B and C equal to A minus B</w:t>
      </w:r>
    </w:p>
    <w:p>
      <w:pPr>
        <w:spacing w:before="100" w:after="100"/>
        <w:jc w:val="center"/>
      </w:pPr>
      <w:r>
        <w:drawing>
          <wp:inline xmlns:a="http://schemas.openxmlformats.org/drawingml/2006/main" xmlns:pic="http://schemas.openxmlformats.org/drawingml/2006/picture">
            <wp:extent cx="2139696" cy="192050"/>
            <wp:docPr id="38" name="Picture 38"/>
            <wp:cNvGraphicFramePr>
              <a:graphicFrameLocks noChangeAspect="1"/>
            </wp:cNvGraphicFramePr>
            <a:graphic>
              <a:graphicData uri="http://schemas.openxmlformats.org/drawingml/2006/picture">
                <pic:pic>
                  <pic:nvPicPr>
                    <pic:cNvPr id="0" name="47e43fbb4e9998e508d2700f6cd6454c391df0deb34de5bcfccddd7b804fa11b.png"/>
                    <pic:cNvPicPr/>
                  </pic:nvPicPr>
                  <pic:blipFill>
                    <a:blip r:embed="rId48"/>
                    <a:stretch>
                      <a:fillRect/>
                    </a:stretch>
                  </pic:blipFill>
                  <pic:spPr>
                    <a:xfrm>
                      <a:off x="0" y="0"/>
                      <a:ext cx="2139696" cy="192050"/>
                    </a:xfrm>
                    <a:prstGeom prst="rect"/>
                  </pic:spPr>
                </pic:pic>
              </a:graphicData>
            </a:graphic>
          </wp:inline>
        </w:drawing>
      </w:r>
    </w:p>
    <w:p>
      <w:pPr>
        <w:pStyle w:val="Heading2"/>
      </w:pPr>
      <w:r>
        <w:t>7 2  Blind benchmark</w:t>
      </w:r>
    </w:p>
    <w:p>
      <w:pPr>
        <w:spacing w:after="120" w:line="300" w:lineRule="auto"/>
      </w:pPr>
      <w:r>
        <w:rPr>
          <w:rFonts w:ascii="Calibri" w:hAnsi="Calibri"/>
          <w:b w:val="0"/>
          <w:i w:val="0"/>
          <w:sz w:val="22"/>
        </w:rPr>
        <w:t>The frozen core consisted of points Delta a generator and U equal to exp of Delta G  The Lorentz matrix hyperbolic functions Minkowski metric signature and true generator were withheld  The model inferred an invariant form from the approximate null space of G transpose H plus H G and projected G into the exact H preserving algebra</w:t>
      </w:r>
    </w:p>
    <w:tbl>
      <w:tblPr>
        <w:tblW w:type="dxa" w:w="9360"/>
        <w:jc w:val="center"/>
        <w:tblLayout w:type="fixed"/>
        <w:tblLook w:firstColumn="1" w:firstRow="1" w:lastColumn="0" w:lastRow="0" w:noHBand="0" w:noVBand="1" w:val="04A0"/>
        <w:tblInd w:w="120" w:type="dxa"/>
      </w:tblPr>
      <w:tblGrid>
        <w:gridCol w:w="1800"/>
        <w:gridCol w:w="1500"/>
        <w:gridCol w:w="1600"/>
        <w:gridCol w:w="1600"/>
        <w:gridCol w:w="2860"/>
      </w:tblGrid>
      <w:tr>
        <w:tc>
          <w:tcPr>
            <w:tcW w:type="dxa" w:w="1800"/>
            <w:shd w:fill="E8EEF5"/>
            <w:tcMar>
              <w:top w:w="80" w:type="dxa"/>
              <w:start w:w="120" w:type="dxa"/>
              <w:bottom w:w="80" w:type="dxa"/>
              <w:end w:w="120" w:type="dxa"/>
            </w:tcMar>
            <w:vAlign w:val="center"/>
          </w:tcPr>
          <w:p>
            <w:pPr>
              <w:spacing w:after="0"/>
            </w:pPr>
            <w:r>
              <w:rPr>
                <w:rFonts w:ascii="Calibri" w:hAnsi="Calibri"/>
                <w:b/>
                <w:i w:val="0"/>
                <w:color w:val="1F4D78"/>
                <w:sz w:val="18"/>
              </w:rPr>
              <w:t>Run</w:t>
            </w:r>
          </w:p>
        </w:tc>
        <w:tc>
          <w:tcPr>
            <w:tcW w:type="dxa" w:w="1500"/>
            <w:shd w:fill="E8EEF5"/>
            <w:tcMar>
              <w:top w:w="80" w:type="dxa"/>
              <w:start w:w="120" w:type="dxa"/>
              <w:bottom w:w="80" w:type="dxa"/>
              <w:end w:w="120" w:type="dxa"/>
            </w:tcMar>
            <w:vAlign w:val="center"/>
          </w:tcPr>
          <w:p>
            <w:pPr>
              <w:spacing w:after="0"/>
            </w:pPr>
            <w:r>
              <w:rPr>
                <w:rFonts w:ascii="Calibri" w:hAnsi="Calibri"/>
                <w:b/>
                <w:i w:val="0"/>
                <w:color w:val="1F4D78"/>
                <w:sz w:val="18"/>
              </w:rPr>
              <w:t>NSC RMSE</w:t>
            </w:r>
          </w:p>
        </w:tc>
        <w:tc>
          <w:tcPr>
            <w:tcW w:type="dxa" w:w="1600"/>
            <w:shd w:fill="E8EEF5"/>
            <w:tcMar>
              <w:top w:w="80" w:type="dxa"/>
              <w:start w:w="120" w:type="dxa"/>
              <w:bottom w:w="80" w:type="dxa"/>
              <w:end w:w="120" w:type="dxa"/>
            </w:tcMar>
            <w:vAlign w:val="center"/>
          </w:tcPr>
          <w:p>
            <w:pPr>
              <w:spacing w:after="0"/>
            </w:pPr>
            <w:r>
              <w:rPr>
                <w:rFonts w:ascii="Calibri" w:hAnsi="Calibri"/>
                <w:b/>
                <w:i w:val="0"/>
                <w:color w:val="1F4D78"/>
                <w:sz w:val="18"/>
              </w:rPr>
              <w:t>Euler baseline</w:t>
            </w:r>
          </w:p>
        </w:tc>
        <w:tc>
          <w:tcPr>
            <w:tcW w:type="dxa" w:w="1600"/>
            <w:shd w:fill="E8EEF5"/>
            <w:tcMar>
              <w:top w:w="80" w:type="dxa"/>
              <w:start w:w="120" w:type="dxa"/>
              <w:bottom w:w="80" w:type="dxa"/>
              <w:end w:w="120" w:type="dxa"/>
            </w:tcMar>
            <w:vAlign w:val="center"/>
          </w:tcPr>
          <w:p>
            <w:pPr>
              <w:spacing w:after="0"/>
            </w:pPr>
            <w:r>
              <w:rPr>
                <w:rFonts w:ascii="Calibri" w:hAnsi="Calibri"/>
                <w:b/>
                <w:i w:val="0"/>
                <w:color w:val="1F4D78"/>
                <w:sz w:val="18"/>
              </w:rPr>
              <w:t>MLP baseline</w:t>
            </w:r>
          </w:p>
        </w:tc>
        <w:tc>
          <w:tcPr>
            <w:tcW w:type="dxa" w:w="2860"/>
            <w:shd w:fill="E8EEF5"/>
            <w:tcMar>
              <w:top w:w="80" w:type="dxa"/>
              <w:start w:w="120" w:type="dxa"/>
              <w:bottom w:w="80" w:type="dxa"/>
              <w:end w:w="120" w:type="dxa"/>
            </w:tcMar>
            <w:vAlign w:val="center"/>
          </w:tcPr>
          <w:p>
            <w:pPr>
              <w:spacing w:after="0"/>
            </w:pPr>
            <w:r>
              <w:rPr>
                <w:rFonts w:ascii="Calibri" w:hAnsi="Calibri"/>
                <w:b/>
                <w:i w:val="0"/>
                <w:color w:val="1F4D78"/>
                <w:sz w:val="18"/>
              </w:rPr>
              <w:t>Metric result</w:t>
            </w:r>
          </w:p>
        </w:tc>
      </w:tr>
      <w:tr>
        <w:tc>
          <w:tcPr>
            <w:tcW w:type="dxa" w:w="1800"/>
            <w:tcMar>
              <w:top w:w="80" w:type="dxa"/>
              <w:start w:w="120" w:type="dxa"/>
              <w:bottom w:w="80" w:type="dxa"/>
              <w:end w:w="120" w:type="dxa"/>
            </w:tcMar>
            <w:vAlign w:val="center"/>
          </w:tcPr>
          <w:p>
            <w:pPr>
              <w:spacing w:after="0"/>
            </w:pPr>
            <w:r>
              <w:rPr>
                <w:rFonts w:ascii="Calibri" w:hAnsi="Calibri"/>
                <w:b w:val="0"/>
                <w:i w:val="0"/>
                <w:sz w:val="18"/>
              </w:rPr>
              <w:t>v0.2 corrected</w:t>
            </w:r>
          </w:p>
        </w:tc>
        <w:tc>
          <w:tcPr>
            <w:tcW w:type="dxa" w:w="1500"/>
            <w:tcMar>
              <w:top w:w="80" w:type="dxa"/>
              <w:start w:w="120" w:type="dxa"/>
              <w:bottom w:w="80" w:type="dxa"/>
              <w:end w:w="120" w:type="dxa"/>
            </w:tcMar>
            <w:vAlign w:val="center"/>
          </w:tcPr>
          <w:p>
            <w:pPr>
              <w:spacing w:after="0"/>
            </w:pPr>
            <w:r>
              <w:rPr>
                <w:rFonts w:ascii="Calibri" w:hAnsi="Calibri"/>
                <w:b w:val="0"/>
                <w:i w:val="0"/>
                <w:sz w:val="18"/>
              </w:rPr>
              <w:t>0.00127</w:t>
            </w:r>
          </w:p>
        </w:tc>
        <w:tc>
          <w:tcPr>
            <w:tcW w:type="dxa" w:w="1600"/>
            <w:tcMar>
              <w:top w:w="80" w:type="dxa"/>
              <w:start w:w="120" w:type="dxa"/>
              <w:bottom w:w="80" w:type="dxa"/>
              <w:end w:w="120" w:type="dxa"/>
            </w:tcMar>
            <w:vAlign w:val="center"/>
          </w:tcPr>
          <w:p>
            <w:pPr>
              <w:spacing w:after="0"/>
            </w:pPr>
            <w:r>
              <w:rPr>
                <w:rFonts w:ascii="Calibri" w:hAnsi="Calibri"/>
                <w:b w:val="0"/>
                <w:i w:val="0"/>
                <w:sz w:val="18"/>
              </w:rPr>
              <w:t>approximately 3</w:t>
            </w:r>
          </w:p>
        </w:tc>
        <w:tc>
          <w:tcPr>
            <w:tcW w:type="dxa" w:w="1600"/>
            <w:tcMar>
              <w:top w:w="80" w:type="dxa"/>
              <w:start w:w="120" w:type="dxa"/>
              <w:bottom w:w="80" w:type="dxa"/>
              <w:end w:w="120" w:type="dxa"/>
            </w:tcMar>
            <w:vAlign w:val="center"/>
          </w:tcPr>
          <w:p>
            <w:pPr>
              <w:spacing w:after="0"/>
            </w:pPr>
            <w:r>
              <w:rPr>
                <w:rFonts w:ascii="Calibri" w:hAnsi="Calibri"/>
                <w:b w:val="0"/>
                <w:i w:val="0"/>
                <w:sz w:val="18"/>
              </w:rPr>
              <w:t>approximately 4.8</w:t>
            </w:r>
          </w:p>
        </w:tc>
        <w:tc>
          <w:tcPr>
            <w:tcW w:type="dxa" w:w="2860"/>
            <w:tcMar>
              <w:top w:w="80" w:type="dxa"/>
              <w:start w:w="120" w:type="dxa"/>
              <w:bottom w:w="80" w:type="dxa"/>
              <w:end w:w="120" w:type="dxa"/>
            </w:tcMar>
            <w:vAlign w:val="center"/>
          </w:tcPr>
          <w:p>
            <w:pPr>
              <w:spacing w:after="0"/>
            </w:pPr>
            <w:r>
              <w:rPr>
                <w:rFonts w:ascii="Calibri" w:hAnsi="Calibri"/>
                <w:b w:val="0"/>
                <w:i w:val="0"/>
                <w:sz w:val="18"/>
              </w:rPr>
              <w:t>H approximately diag(1 −1)</w:t>
            </w:r>
          </w:p>
        </w:tc>
      </w:tr>
      <w:tr>
        <w:tc>
          <w:tcPr>
            <w:tcW w:type="dxa" w:w="1800"/>
            <w:tcMar>
              <w:top w:w="80" w:type="dxa"/>
              <w:start w:w="120" w:type="dxa"/>
              <w:bottom w:w="80" w:type="dxa"/>
              <w:end w:w="120" w:type="dxa"/>
            </w:tcMar>
            <w:vAlign w:val="center"/>
          </w:tcPr>
          <w:p>
            <w:pPr>
              <w:spacing w:after="0"/>
            </w:pPr>
            <w:r>
              <w:rPr>
                <w:rFonts w:ascii="Calibri" w:hAnsi="Calibri"/>
                <w:b w:val="0"/>
                <w:i w:val="0"/>
                <w:sz w:val="18"/>
              </w:rPr>
              <w:t>v0.3 independent seed</w:t>
            </w:r>
          </w:p>
        </w:tc>
        <w:tc>
          <w:tcPr>
            <w:tcW w:type="dxa" w:w="1500"/>
            <w:tcMar>
              <w:top w:w="80" w:type="dxa"/>
              <w:start w:w="120" w:type="dxa"/>
              <w:bottom w:w="80" w:type="dxa"/>
              <w:end w:w="120" w:type="dxa"/>
            </w:tcMar>
            <w:vAlign w:val="center"/>
          </w:tcPr>
          <w:p>
            <w:pPr>
              <w:spacing w:after="0"/>
            </w:pPr>
            <w:r>
              <w:rPr>
                <w:rFonts w:ascii="Calibri" w:hAnsi="Calibri"/>
                <w:b w:val="0"/>
                <w:i w:val="0"/>
                <w:sz w:val="18"/>
              </w:rPr>
              <w:t>0.000385</w:t>
            </w:r>
          </w:p>
        </w:tc>
        <w:tc>
          <w:tcPr>
            <w:tcW w:type="dxa" w:w="1600"/>
            <w:tcMar>
              <w:top w:w="80" w:type="dxa"/>
              <w:start w:w="120" w:type="dxa"/>
              <w:bottom w:w="80" w:type="dxa"/>
              <w:end w:w="120" w:type="dxa"/>
            </w:tcMar>
            <w:vAlign w:val="center"/>
          </w:tcPr>
          <w:p>
            <w:pPr>
              <w:spacing w:after="0"/>
            </w:pPr>
            <w:r>
              <w:rPr>
                <w:rFonts w:ascii="Calibri" w:hAnsi="Calibri"/>
                <w:b w:val="0"/>
                <w:i w:val="0"/>
                <w:sz w:val="18"/>
              </w:rPr>
              <w:t>approximately 3</w:t>
            </w:r>
          </w:p>
        </w:tc>
        <w:tc>
          <w:tcPr>
            <w:tcW w:type="dxa" w:w="1600"/>
            <w:tcMar>
              <w:top w:w="80" w:type="dxa"/>
              <w:start w:w="120" w:type="dxa"/>
              <w:bottom w:w="80" w:type="dxa"/>
              <w:end w:w="120" w:type="dxa"/>
            </w:tcMar>
            <w:vAlign w:val="center"/>
          </w:tcPr>
          <w:p>
            <w:pPr>
              <w:spacing w:after="0"/>
            </w:pPr>
            <w:r>
              <w:rPr>
                <w:rFonts w:ascii="Calibri" w:hAnsi="Calibri"/>
                <w:b w:val="0"/>
                <w:i w:val="0"/>
                <w:sz w:val="18"/>
              </w:rPr>
              <w:t>approximately 4.8</w:t>
            </w:r>
          </w:p>
        </w:tc>
        <w:tc>
          <w:tcPr>
            <w:tcW w:type="dxa" w:w="2860"/>
            <w:tcMar>
              <w:top w:w="80" w:type="dxa"/>
              <w:start w:w="120" w:type="dxa"/>
              <w:bottom w:w="80" w:type="dxa"/>
              <w:end w:w="120" w:type="dxa"/>
            </w:tcMar>
            <w:vAlign w:val="center"/>
          </w:tcPr>
          <w:p>
            <w:pPr>
              <w:spacing w:after="0"/>
            </w:pPr>
            <w:r>
              <w:rPr>
                <w:rFonts w:ascii="Calibri" w:hAnsi="Calibri"/>
                <w:b w:val="0"/>
                <w:i w:val="0"/>
                <w:sz w:val="18"/>
              </w:rPr>
              <w:t>Residual approximately 10⁻¹⁴</w:t>
            </w:r>
          </w:p>
        </w:tc>
      </w:tr>
    </w:tbl>
    <w:p>
      <w:pPr>
        <w:spacing w:after="0"/>
      </w:pPr>
    </w:p>
    <w:p>
      <w:pPr>
        <w:spacing w:after="120" w:line="300" w:lineRule="auto"/>
      </w:pPr>
      <w:r>
        <w:rPr>
          <w:rFonts w:ascii="Calibri" w:hAnsi="Calibri"/>
          <w:b w:val="0"/>
          <w:i w:val="0"/>
          <w:sz w:val="22"/>
        </w:rPr>
        <w:t>This is evidence for cross domain transport and invariant metric recovery inside the synthetic benchmark  It is not a derivation of special relativity from a deeper physical NSC principle</w:t>
      </w:r>
    </w:p>
    <w:p>
      <w:pPr>
        <w:pStyle w:val="Heading1"/>
      </w:pPr>
      <w:r>
        <w:t>8  Radical Delta Series and the Pi Approximation</w:t>
      </w:r>
    </w:p>
    <w:p>
      <w:pPr>
        <w:pStyle w:val="Heading2"/>
      </w:pPr>
      <w:r>
        <w:t>8 1  Radical brick</w:t>
      </w:r>
    </w:p>
    <w:p>
      <w:pPr>
        <w:spacing w:before="100" w:after="100"/>
        <w:jc w:val="center"/>
      </w:pPr>
      <w:r>
        <w:drawing>
          <wp:inline xmlns:a="http://schemas.openxmlformats.org/drawingml/2006/main" xmlns:pic="http://schemas.openxmlformats.org/drawingml/2006/picture">
            <wp:extent cx="1965960" cy="495442"/>
            <wp:docPr id="39" name="Picture 39"/>
            <wp:cNvGraphicFramePr>
              <a:graphicFrameLocks noChangeAspect="1"/>
            </wp:cNvGraphicFramePr>
            <a:graphic>
              <a:graphicData uri="http://schemas.openxmlformats.org/drawingml/2006/picture">
                <pic:pic>
                  <pic:nvPicPr>
                    <pic:cNvPr id="0" name="475d98c357b2a7c5c87ec0f196f10969921e043faaee5e35990793eec3cfbeac.png"/>
                    <pic:cNvPicPr/>
                  </pic:nvPicPr>
                  <pic:blipFill>
                    <a:blip r:embed="rId49"/>
                    <a:stretch>
                      <a:fillRect/>
                    </a:stretch>
                  </pic:blipFill>
                  <pic:spPr>
                    <a:xfrm>
                      <a:off x="0" y="0"/>
                      <a:ext cx="1965960" cy="495442"/>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336000"/>
            <wp:docPr id="40" name="Picture 40"/>
            <wp:cNvGraphicFramePr>
              <a:graphicFrameLocks noChangeAspect="1"/>
            </wp:cNvGraphicFramePr>
            <a:graphic>
              <a:graphicData uri="http://schemas.openxmlformats.org/drawingml/2006/picture">
                <pic:pic>
                  <pic:nvPicPr>
                    <pic:cNvPr id="0" name="de3b8b5c56c92d866001186318aa35ac9a405c361e122e55064c449fe892e0fc.png"/>
                    <pic:cNvPicPr/>
                  </pic:nvPicPr>
                  <pic:blipFill>
                    <a:blip r:embed="rId50"/>
                    <a:stretch>
                      <a:fillRect/>
                    </a:stretch>
                  </pic:blipFill>
                  <pic:spPr>
                    <a:xfrm>
                      <a:off x="0" y="0"/>
                      <a:ext cx="1965960" cy="336000"/>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349503"/>
            <wp:docPr id="41" name="Picture 41"/>
            <wp:cNvGraphicFramePr>
              <a:graphicFrameLocks noChangeAspect="1"/>
            </wp:cNvGraphicFramePr>
            <a:graphic>
              <a:graphicData uri="http://schemas.openxmlformats.org/drawingml/2006/picture">
                <pic:pic>
                  <pic:nvPicPr>
                    <pic:cNvPr id="0" name="b6011200747195f998d0a960da21bf982e8de8f7ead58c6567369fbe6f93340d.png"/>
                    <pic:cNvPicPr/>
                  </pic:nvPicPr>
                  <pic:blipFill>
                    <a:blip r:embed="rId51"/>
                    <a:stretch>
                      <a:fillRect/>
                    </a:stretch>
                  </pic:blipFill>
                  <pic:spPr>
                    <a:xfrm>
                      <a:off x="0" y="0"/>
                      <a:ext cx="1965960" cy="349503"/>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838200"/>
            <wp:docPr id="42" name="Picture 42"/>
            <wp:cNvGraphicFramePr>
              <a:graphicFrameLocks noChangeAspect="1"/>
            </wp:cNvGraphicFramePr>
            <a:graphic>
              <a:graphicData uri="http://schemas.openxmlformats.org/drawingml/2006/picture">
                <pic:pic>
                  <pic:nvPicPr>
                    <pic:cNvPr id="0" name="6c9441274a3adbea164477e0b91427257b39754dbde62da0fb209757e39d2978.png"/>
                    <pic:cNvPicPr/>
                  </pic:nvPicPr>
                  <pic:blipFill>
                    <a:blip r:embed="rId52"/>
                    <a:stretch>
                      <a:fillRect/>
                    </a:stretch>
                  </pic:blipFill>
                  <pic:spPr>
                    <a:xfrm>
                      <a:off x="0" y="0"/>
                      <a:ext cx="1965960" cy="838200"/>
                    </a:xfrm>
                    <a:prstGeom prst="rect"/>
                  </pic:spPr>
                </pic:pic>
              </a:graphicData>
            </a:graphic>
          </wp:inline>
        </w:drawing>
      </w:r>
    </w:p>
    <w:p>
      <w:pPr>
        <w:pStyle w:val="Heading2"/>
      </w:pPr>
      <w:r>
        <w:t>8 2  RHMC Delta series</w:t>
      </w:r>
    </w:p>
    <w:p>
      <w:pPr>
        <w:spacing w:before="100" w:after="100"/>
        <w:jc w:val="center"/>
      </w:pPr>
      <w:r>
        <w:drawing>
          <wp:inline xmlns:a="http://schemas.openxmlformats.org/drawingml/2006/main" xmlns:pic="http://schemas.openxmlformats.org/drawingml/2006/picture">
            <wp:extent cx="2424988" cy="661741"/>
            <wp:docPr id="43" name="Picture 43"/>
            <wp:cNvGraphicFramePr>
              <a:graphicFrameLocks noChangeAspect="1"/>
            </wp:cNvGraphicFramePr>
            <a:graphic>
              <a:graphicData uri="http://schemas.openxmlformats.org/drawingml/2006/picture">
                <pic:pic>
                  <pic:nvPicPr>
                    <pic:cNvPr id="0" name="c248800345a62bf9d0ecb0302ecdcc52073d2ab0f259d96b50b6bbcf6f389d2e.png"/>
                    <pic:cNvPicPr/>
                  </pic:nvPicPr>
                  <pic:blipFill>
                    <a:blip r:embed="rId53"/>
                    <a:stretch>
                      <a:fillRect/>
                    </a:stretch>
                  </pic:blipFill>
                  <pic:spPr>
                    <a:xfrm>
                      <a:off x="0" y="0"/>
                      <a:ext cx="2424988" cy="661741"/>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2472537" cy="788121"/>
            <wp:docPr id="44" name="Picture 44"/>
            <wp:cNvGraphicFramePr>
              <a:graphicFrameLocks noChangeAspect="1"/>
            </wp:cNvGraphicFramePr>
            <a:graphic>
              <a:graphicData uri="http://schemas.openxmlformats.org/drawingml/2006/picture">
                <pic:pic>
                  <pic:nvPicPr>
                    <pic:cNvPr id="0" name="df676b1b2c516e84d43b58b025d8659a8d3e59f1c614768f649e4c7c4d7f2fe7.png"/>
                    <pic:cNvPicPr/>
                  </pic:nvPicPr>
                  <pic:blipFill>
                    <a:blip r:embed="rId54"/>
                    <a:stretch>
                      <a:fillRect/>
                    </a:stretch>
                  </pic:blipFill>
                  <pic:spPr>
                    <a:xfrm>
                      <a:off x="0" y="0"/>
                      <a:ext cx="2472537" cy="788121"/>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3185769" cy="867103"/>
            <wp:docPr id="45" name="Picture 45"/>
            <wp:cNvGraphicFramePr>
              <a:graphicFrameLocks noChangeAspect="1"/>
            </wp:cNvGraphicFramePr>
            <a:graphic>
              <a:graphicData uri="http://schemas.openxmlformats.org/drawingml/2006/picture">
                <pic:pic>
                  <pic:nvPicPr>
                    <pic:cNvPr id="0" name="63dcd4ffff70d2fee1b11d5230613af8d23094d109734ee74c2dd374d6b81e55.png"/>
                    <pic:cNvPicPr/>
                  </pic:nvPicPr>
                  <pic:blipFill>
                    <a:blip r:embed="rId55"/>
                    <a:stretch>
                      <a:fillRect/>
                    </a:stretch>
                  </pic:blipFill>
                  <pic:spPr>
                    <a:xfrm>
                      <a:off x="0" y="0"/>
                      <a:ext cx="3185769" cy="867103"/>
                    </a:xfrm>
                    <a:prstGeom prst="rect"/>
                  </pic:spPr>
                </pic:pic>
              </a:graphicData>
            </a:graphic>
          </wp:inline>
        </w:drawing>
      </w:r>
    </w:p>
    <w:p>
      <w:pPr>
        <w:spacing w:after="120" w:line="300" w:lineRule="auto"/>
      </w:pPr>
      <w:r>
        <w:rPr>
          <w:rFonts w:ascii="Calibri" w:hAnsi="Calibri"/>
          <w:b w:val="0"/>
          <w:i w:val="0"/>
          <w:sz w:val="22"/>
        </w:rPr>
        <w:t>The recurrence follows from the ratio of central binomial coefficients  The closed sum follows from the binomial expansion of one plus rho to the power minus one half</w:t>
      </w:r>
    </w:p>
    <w:p>
      <w:pPr>
        <w:pStyle w:val="Heading2"/>
      </w:pPr>
      <w:r>
        <w:t>8 3  Conditional memory law</w:t>
      </w:r>
    </w:p>
    <w:p>
      <w:pPr>
        <w:spacing w:before="100" w:after="100"/>
        <w:jc w:val="center"/>
      </w:pPr>
      <w:r>
        <w:drawing>
          <wp:inline xmlns:a="http://schemas.openxmlformats.org/drawingml/2006/main" xmlns:pic="http://schemas.openxmlformats.org/drawingml/2006/picture">
            <wp:extent cx="4754880" cy="691847"/>
            <wp:docPr id="46" name="Picture 46"/>
            <wp:cNvGraphicFramePr>
              <a:graphicFrameLocks noChangeAspect="1"/>
            </wp:cNvGraphicFramePr>
            <a:graphic>
              <a:graphicData uri="http://schemas.openxmlformats.org/drawingml/2006/picture">
                <pic:pic>
                  <pic:nvPicPr>
                    <pic:cNvPr id="0" name="ff8dcc7885816a2f33e9b6fbb57b002a1de0a4a552a40dae9e5fd47f31475f5d.png"/>
                    <pic:cNvPicPr/>
                  </pic:nvPicPr>
                  <pic:blipFill>
                    <a:blip r:embed="rId56"/>
                    <a:stretch>
                      <a:fillRect/>
                    </a:stretch>
                  </pic:blipFill>
                  <pic:spPr>
                    <a:xfrm>
                      <a:off x="0" y="0"/>
                      <a:ext cx="4754880" cy="691847"/>
                    </a:xfrm>
                    <a:prstGeom prst="rect"/>
                  </pic:spPr>
                </pic:pic>
              </a:graphicData>
            </a:graphic>
          </wp:inline>
        </w:drawing>
      </w:r>
    </w:p>
    <w:p>
      <w:pPr>
        <w:spacing w:after="120" w:line="300" w:lineRule="auto"/>
      </w:pPr>
      <w:r>
        <w:rPr>
          <w:rFonts w:ascii="Calibri" w:hAnsi="Calibri"/>
          <w:b w:val="0"/>
          <w:i w:val="0"/>
          <w:sz w:val="22"/>
        </w:rPr>
        <w:t>The series and recurrence are proved  The fourth power memory definition and any physical memory interpretation are modeling assumptions</w:t>
      </w:r>
    </w:p>
    <w:p>
      <w:pPr>
        <w:pStyle w:val="Heading2"/>
      </w:pPr>
      <w:r>
        <w:t>8 4  Numerical Pi construction</w:t>
      </w:r>
    </w:p>
    <w:p>
      <w:pPr>
        <w:spacing w:before="100" w:after="100"/>
        <w:jc w:val="center"/>
      </w:pPr>
      <w:r>
        <w:drawing>
          <wp:inline xmlns:a="http://schemas.openxmlformats.org/drawingml/2006/main" xmlns:pic="http://schemas.openxmlformats.org/drawingml/2006/picture">
            <wp:extent cx="3613708" cy="605498"/>
            <wp:docPr id="47" name="Picture 47"/>
            <wp:cNvGraphicFramePr>
              <a:graphicFrameLocks noChangeAspect="1"/>
            </wp:cNvGraphicFramePr>
            <a:graphic>
              <a:graphicData uri="http://schemas.openxmlformats.org/drawingml/2006/picture">
                <pic:pic>
                  <pic:nvPicPr>
                    <pic:cNvPr id="0" name="6b580c700a264067e83482332cdcae2c84cb636792f36d962344def947a5bae3.png"/>
                    <pic:cNvPicPr/>
                  </pic:nvPicPr>
                  <pic:blipFill>
                    <a:blip r:embed="rId57"/>
                    <a:stretch>
                      <a:fillRect/>
                    </a:stretch>
                  </pic:blipFill>
                  <pic:spPr>
                    <a:xfrm>
                      <a:off x="0" y="0"/>
                      <a:ext cx="3613708" cy="605498"/>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1965960" cy="221516"/>
            <wp:docPr id="48" name="Picture 48"/>
            <wp:cNvGraphicFramePr>
              <a:graphicFrameLocks noChangeAspect="1"/>
            </wp:cNvGraphicFramePr>
            <a:graphic>
              <a:graphicData uri="http://schemas.openxmlformats.org/drawingml/2006/picture">
                <pic:pic>
                  <pic:nvPicPr>
                    <pic:cNvPr id="0" name="e6cbcd5ac45156cd07e9067ee17d3cc94b1b557956228b6a387c71c999865ac4.png"/>
                    <pic:cNvPicPr/>
                  </pic:nvPicPr>
                  <pic:blipFill>
                    <a:blip r:embed="rId58"/>
                    <a:stretch>
                      <a:fillRect/>
                    </a:stretch>
                  </pic:blipFill>
                  <pic:spPr>
                    <a:xfrm>
                      <a:off x="0" y="0"/>
                      <a:ext cx="1965960" cy="221516"/>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2329891" cy="254662"/>
            <wp:docPr id="49" name="Picture 49"/>
            <wp:cNvGraphicFramePr>
              <a:graphicFrameLocks noChangeAspect="1"/>
            </wp:cNvGraphicFramePr>
            <a:graphic>
              <a:graphicData uri="http://schemas.openxmlformats.org/drawingml/2006/picture">
                <pic:pic>
                  <pic:nvPicPr>
                    <pic:cNvPr id="0" name="e2a1198d08f1e1945a2bc8e56835492267aa758e76cffb60ffdc4ae5edc06c9a.png"/>
                    <pic:cNvPicPr/>
                  </pic:nvPicPr>
                  <pic:blipFill>
                    <a:blip r:embed="rId59"/>
                    <a:stretch>
                      <a:fillRect/>
                    </a:stretch>
                  </pic:blipFill>
                  <pic:spPr>
                    <a:xfrm>
                      <a:off x="0" y="0"/>
                      <a:ext cx="2329891" cy="254662"/>
                    </a:xfrm>
                    <a:prstGeom prst="rect"/>
                  </pic:spPr>
                </pic:pic>
              </a:graphicData>
            </a:graphic>
          </wp:inline>
        </w:drawing>
      </w:r>
    </w:p>
    <w:p>
      <w:pPr>
        <w:spacing w:after="120" w:line="300" w:lineRule="auto"/>
      </w:pPr>
      <w:r>
        <w:rPr>
          <w:rFonts w:ascii="Calibri" w:hAnsi="Calibri"/>
          <w:b w:val="0"/>
          <w:i w:val="0"/>
          <w:sz w:val="22"/>
        </w:rPr>
        <w:t>The relative error is about 2.12 parts per million  This is a numerical approximation rather than an identity  The special selection n equal to 3 and the radical structure still require independent justification  Family tests showed that neighboring n values do not share the same accuracy</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pPr>
              <w:spacing w:after="60"/>
            </w:pPr>
            <w:r>
              <w:rPr>
                <w:rFonts w:ascii="Calibri" w:hAnsi="Calibri"/>
                <w:b/>
                <w:i w:val="0"/>
                <w:color w:val="1F4D78"/>
                <w:sz w:val="22"/>
              </w:rPr>
              <w:t>Naming correction</w:t>
            </w:r>
          </w:p>
          <w:p>
            <w:pPr>
              <w:spacing w:after="0"/>
            </w:pPr>
            <w:r>
              <w:rPr>
                <w:rFonts w:ascii="Calibri" w:hAnsi="Calibri"/>
                <w:b w:val="0"/>
                <w:i w:val="0"/>
                <w:sz w:val="20"/>
              </w:rPr>
              <w:t>The construction is properly called the RHMC Delta binomial series  It should not be called an Euler series unless an explicit Euler formula transformation or product connection is proved</w:t>
            </w:r>
          </w:p>
        </w:tc>
      </w:tr>
    </w:tbl>
    <w:p>
      <w:pPr>
        <w:spacing w:after="40"/>
      </w:pPr>
    </w:p>
    <w:p>
      <w:pPr>
        <w:pStyle w:val="Heading1"/>
      </w:pPr>
      <w:r>
        <w:t>9  Möbius Geometry</w:t>
      </w:r>
    </w:p>
    <w:p>
      <w:pPr>
        <w:spacing w:before="100" w:after="100"/>
        <w:jc w:val="center"/>
      </w:pPr>
      <w:r>
        <w:drawing>
          <wp:inline xmlns:a="http://schemas.openxmlformats.org/drawingml/2006/main" xmlns:pic="http://schemas.openxmlformats.org/drawingml/2006/picture">
            <wp:extent cx="1965960" cy="377782"/>
            <wp:docPr id="50" name="Picture 50"/>
            <wp:cNvGraphicFramePr>
              <a:graphicFrameLocks noChangeAspect="1"/>
            </wp:cNvGraphicFramePr>
            <a:graphic>
              <a:graphicData uri="http://schemas.openxmlformats.org/drawingml/2006/picture">
                <pic:pic>
                  <pic:nvPicPr>
                    <pic:cNvPr id="0" name="063e31618ab2ec99cbd13fc602a08cf9536000ff613cd16f4a1ee378cb984201.png"/>
                    <pic:cNvPicPr/>
                  </pic:nvPicPr>
                  <pic:blipFill>
                    <a:blip r:embed="rId60"/>
                    <a:stretch>
                      <a:fillRect/>
                    </a:stretch>
                  </pic:blipFill>
                  <pic:spPr>
                    <a:xfrm>
                      <a:off x="0" y="0"/>
                      <a:ext cx="1965960" cy="377782"/>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3803904" cy="635971"/>
            <wp:docPr id="51" name="Picture 51"/>
            <wp:cNvGraphicFramePr>
              <a:graphicFrameLocks noChangeAspect="1"/>
            </wp:cNvGraphicFramePr>
            <a:graphic>
              <a:graphicData uri="http://schemas.openxmlformats.org/drawingml/2006/picture">
                <pic:pic>
                  <pic:nvPicPr>
                    <pic:cNvPr id="0" name="3f83f4efce5dec67293fe6aab663d74ca59fda9cbea511caf4630d048eb915ed.png"/>
                    <pic:cNvPicPr/>
                  </pic:nvPicPr>
                  <pic:blipFill>
                    <a:blip r:embed="rId61"/>
                    <a:stretch>
                      <a:fillRect/>
                    </a:stretch>
                  </pic:blipFill>
                  <pic:spPr>
                    <a:xfrm>
                      <a:off x="0" y="0"/>
                      <a:ext cx="3803904" cy="635971"/>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3471062" cy="283615"/>
            <wp:docPr id="52" name="Picture 52"/>
            <wp:cNvGraphicFramePr>
              <a:graphicFrameLocks noChangeAspect="1"/>
            </wp:cNvGraphicFramePr>
            <a:graphic>
              <a:graphicData uri="http://schemas.openxmlformats.org/drawingml/2006/picture">
                <pic:pic>
                  <pic:nvPicPr>
                    <pic:cNvPr id="0" name="c3f06c0a85828e87bf7d6bbff955dd34c59802316ad739b2b9d3064964d5858c.png"/>
                    <pic:cNvPicPr/>
                  </pic:nvPicPr>
                  <pic:blipFill>
                    <a:blip r:embed="rId62"/>
                    <a:stretch>
                      <a:fillRect/>
                    </a:stretch>
                  </pic:blipFill>
                  <pic:spPr>
                    <a:xfrm>
                      <a:off x="0" y="0"/>
                      <a:ext cx="3471062" cy="283615"/>
                    </a:xfrm>
                    <a:prstGeom prst="rect"/>
                  </pic:spPr>
                </pic:pic>
              </a:graphicData>
            </a:graphic>
          </wp:inline>
        </w:drawing>
      </w:r>
    </w:p>
    <w:p>
      <w:pPr>
        <w:spacing w:after="120" w:line="300" w:lineRule="auto"/>
      </w:pPr>
      <w:r>
        <w:rPr>
          <w:rFonts w:ascii="Calibri" w:hAnsi="Calibri"/>
          <w:b w:val="0"/>
          <w:i w:val="0"/>
          <w:sz w:val="22"/>
        </w:rPr>
        <w:t>The earlier claim that a Möbius cross ratio changes with Delta to the fourth power is false  A Möbius transformation preserves the four point cross ratio exactly  Order effects must instead be measured in the difference between two compositions their final points matrices or holonomy</w:t>
      </w:r>
    </w:p>
    <w:p>
      <w:pPr>
        <w:pStyle w:val="Heading1"/>
      </w:pPr>
      <w:r>
        <w:t>10  Black Hole and Horizon Architecture</w:t>
      </w:r>
    </w:p>
    <w:p>
      <w:pPr>
        <w:pStyle w:val="Heading2"/>
      </w:pPr>
      <w:r>
        <w:t>10 1  Conditional information preserving partition</w:t>
      </w:r>
    </w:p>
    <w:p>
      <w:pPr>
        <w:spacing w:before="100" w:after="100"/>
        <w:jc w:val="center"/>
      </w:pPr>
      <w:r>
        <w:drawing>
          <wp:inline xmlns:a="http://schemas.openxmlformats.org/drawingml/2006/main" xmlns:pic="http://schemas.openxmlformats.org/drawingml/2006/picture">
            <wp:extent cx="2472537" cy="401445"/>
            <wp:docPr id="53" name="Picture 53"/>
            <wp:cNvGraphicFramePr>
              <a:graphicFrameLocks noChangeAspect="1"/>
            </wp:cNvGraphicFramePr>
            <a:graphic>
              <a:graphicData uri="http://schemas.openxmlformats.org/drawingml/2006/picture">
                <pic:pic>
                  <pic:nvPicPr>
                    <pic:cNvPr id="0" name="d7539bb6bc9477d25797e52d8d7058aba23d6b4fd8b3680d875b762e6715eed5.png"/>
                    <pic:cNvPicPr/>
                  </pic:nvPicPr>
                  <pic:blipFill>
                    <a:blip r:embed="rId63"/>
                    <a:stretch>
                      <a:fillRect/>
                    </a:stretch>
                  </pic:blipFill>
                  <pic:spPr>
                    <a:xfrm>
                      <a:off x="0" y="0"/>
                      <a:ext cx="2472537" cy="401445"/>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4564684" cy="406851"/>
            <wp:docPr id="54" name="Picture 54"/>
            <wp:cNvGraphicFramePr>
              <a:graphicFrameLocks noChangeAspect="1"/>
            </wp:cNvGraphicFramePr>
            <a:graphic>
              <a:graphicData uri="http://schemas.openxmlformats.org/drawingml/2006/picture">
                <pic:pic>
                  <pic:nvPicPr>
                    <pic:cNvPr id="0" name="074ae95aeec1ac294775cf7ea215426548ac2c1511fd9baf7d2481035290afee.png"/>
                    <pic:cNvPicPr/>
                  </pic:nvPicPr>
                  <pic:blipFill>
                    <a:blip r:embed="rId64"/>
                    <a:stretch>
                      <a:fillRect/>
                    </a:stretch>
                  </pic:blipFill>
                  <pic:spPr>
                    <a:xfrm>
                      <a:off x="0" y="0"/>
                      <a:ext cx="4564684" cy="406851"/>
                    </a:xfrm>
                    <a:prstGeom prst="rect"/>
                  </pic:spPr>
                </pic:pic>
              </a:graphicData>
            </a:graphic>
          </wp:inline>
        </w:drawing>
      </w:r>
    </w:p>
    <w:p>
      <w:pPr>
        <w:spacing w:after="120" w:line="300" w:lineRule="auto"/>
      </w:pPr>
      <w:r>
        <w:rPr>
          <w:rFonts w:ascii="Calibri" w:hAnsi="Calibri"/>
          <w:b w:val="0"/>
          <w:i w:val="0"/>
          <w:sz w:val="22"/>
        </w:rPr>
        <w:t>The proposed architecture interprets horizon formation as closing an access channel rather than destroying a complete relational state  If the expanded map retains hidden relations and is injective then information is preserved at the architectural level</w:t>
      </w:r>
    </w:p>
    <w:p>
      <w:pPr>
        <w:spacing w:before="100" w:after="100"/>
        <w:jc w:val="center"/>
      </w:pPr>
      <w:r>
        <w:drawing>
          <wp:inline xmlns:a="http://schemas.openxmlformats.org/drawingml/2006/main" xmlns:pic="http://schemas.openxmlformats.org/drawingml/2006/picture">
            <wp:extent cx="5623560" cy="604286"/>
            <wp:docPr id="55" name="Picture 55"/>
            <wp:cNvGraphicFramePr>
              <a:graphicFrameLocks noChangeAspect="1"/>
            </wp:cNvGraphicFramePr>
            <a:graphic>
              <a:graphicData uri="http://schemas.openxmlformats.org/drawingml/2006/picture">
                <pic:pic>
                  <pic:nvPicPr>
                    <pic:cNvPr id="0" name="38c88cdb0eeffeb55d3d49a067f19e8d97973314f7d5329c9405238d556027eb.png"/>
                    <pic:cNvPicPr/>
                  </pic:nvPicPr>
                  <pic:blipFill>
                    <a:blip r:embed="rId65"/>
                    <a:stretch>
                      <a:fillRect/>
                    </a:stretch>
                  </pic:blipFill>
                  <pic:spPr>
                    <a:xfrm>
                      <a:off x="0" y="0"/>
                      <a:ext cx="5623560" cy="604286"/>
                    </a:xfrm>
                    <a:prstGeom prst="rect"/>
                  </pic:spPr>
                </pic:pic>
              </a:graphicData>
            </a:graphic>
          </wp:inline>
        </w:drawing>
      </w:r>
    </w:p>
    <w:p>
      <w:pPr>
        <w:pStyle w:val="Heading2"/>
      </w:pPr>
      <w:r>
        <w:t>10 2  What is missing</w:t>
      </w:r>
    </w:p>
    <w:p>
      <w:pPr>
        <w:pStyle w:val="ListBullet"/>
        <w:spacing w:after="80" w:line="288" w:lineRule="auto"/>
      </w:pPr>
      <w:r>
        <w:rPr>
          <w:rFonts w:ascii="Calibri" w:hAnsi="Calibri"/>
          <w:b w:val="0"/>
          <w:i w:val="0"/>
          <w:sz w:val="22"/>
        </w:rPr>
        <w:t>A gravitational state space and a metric encoder</w:t>
      </w:r>
    </w:p>
    <w:p>
      <w:pPr>
        <w:pStyle w:val="ListBullet"/>
        <w:spacing w:after="80" w:line="288" w:lineRule="auto"/>
      </w:pPr>
      <w:r>
        <w:rPr>
          <w:rFonts w:ascii="Calibri" w:hAnsi="Calibri"/>
          <w:b w:val="0"/>
          <w:i w:val="0"/>
          <w:sz w:val="22"/>
        </w:rPr>
        <w:t>A quantum channel for Hawking radiation</w:t>
      </w:r>
    </w:p>
    <w:p>
      <w:pPr>
        <w:pStyle w:val="ListBullet"/>
        <w:spacing w:after="80" w:line="288" w:lineRule="auto"/>
      </w:pPr>
      <w:r>
        <w:rPr>
          <w:rFonts w:ascii="Calibri" w:hAnsi="Calibri"/>
          <w:b w:val="0"/>
          <w:i w:val="0"/>
          <w:sz w:val="22"/>
        </w:rPr>
        <w:t>A decoder showing recoverability of hidden correlations</w:t>
      </w:r>
    </w:p>
    <w:p>
      <w:pPr>
        <w:pStyle w:val="ListBullet"/>
        <w:spacing w:after="80" w:line="288" w:lineRule="auto"/>
      </w:pPr>
      <w:r>
        <w:rPr>
          <w:rFonts w:ascii="Calibri" w:hAnsi="Calibri"/>
          <w:b w:val="0"/>
          <w:i w:val="0"/>
          <w:sz w:val="22"/>
        </w:rPr>
        <w:t>A Page curve entropy temperature and evaporation dynamics</w:t>
      </w:r>
    </w:p>
    <w:p>
      <w:pPr>
        <w:pStyle w:val="ListBullet"/>
        <w:spacing w:after="80" w:line="288" w:lineRule="auto"/>
      </w:pPr>
      <w:r>
        <w:rPr>
          <w:rFonts w:ascii="Calibri" w:hAnsi="Calibri"/>
          <w:b w:val="0"/>
          <w:i w:val="0"/>
          <w:sz w:val="22"/>
        </w:rPr>
        <w:t>A demonstration that the full map is physically injective</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pPr>
              <w:spacing w:after="60"/>
            </w:pPr>
            <w:r>
              <w:rPr>
                <w:rFonts w:ascii="Calibri" w:hAnsi="Calibri"/>
                <w:b/>
                <w:i w:val="0"/>
                <w:color w:val="1F4D78"/>
                <w:sz w:val="22"/>
              </w:rPr>
              <w:t>Correct claim</w:t>
            </w:r>
          </w:p>
          <w:p>
            <w:pPr>
              <w:spacing w:after="0"/>
            </w:pPr>
            <w:r>
              <w:rPr>
                <w:rFonts w:ascii="Calibri" w:hAnsi="Calibri"/>
                <w:b w:val="0"/>
                <w:i w:val="0"/>
                <w:sz w:val="20"/>
              </w:rPr>
              <w:t>NSC proposes a conditional information preserving architecture  It has not solved the black hole information paradox</w:t>
            </w:r>
          </w:p>
        </w:tc>
      </w:tr>
    </w:tbl>
    <w:p>
      <w:pPr>
        <w:spacing w:after="40"/>
      </w:pPr>
    </w:p>
    <w:p>
      <w:pPr>
        <w:pStyle w:val="Heading1"/>
      </w:pPr>
      <w:r>
        <w:t>11  Higgs Field Mass and Matter Hypotheses</w:t>
      </w:r>
    </w:p>
    <w:p>
      <w:pPr>
        <w:spacing w:after="120" w:line="300" w:lineRule="auto"/>
      </w:pPr>
      <w:r>
        <w:rPr>
          <w:rFonts w:ascii="Calibri" w:hAnsi="Calibri"/>
          <w:b w:val="0"/>
          <w:i w:val="0"/>
          <w:sz w:val="22"/>
        </w:rPr>
        <w:t>Earlier exploratory work described a softened vacuum point and a Delta induced transition into stable particle like structure  In the corrected NSC framework these statements are hypotheses requiring explicit encoders and decoders</w:t>
      </w:r>
    </w:p>
    <w:p>
      <w:pPr>
        <w:spacing w:before="100" w:after="100"/>
        <w:jc w:val="center"/>
      </w:pPr>
      <w:r>
        <w:drawing>
          <wp:inline xmlns:a="http://schemas.openxmlformats.org/drawingml/2006/main" xmlns:pic="http://schemas.openxmlformats.org/drawingml/2006/picture">
            <wp:extent cx="4184294" cy="328965"/>
            <wp:docPr id="56" name="Picture 56"/>
            <wp:cNvGraphicFramePr>
              <a:graphicFrameLocks noChangeAspect="1"/>
            </wp:cNvGraphicFramePr>
            <a:graphic>
              <a:graphicData uri="http://schemas.openxmlformats.org/drawingml/2006/picture">
                <pic:pic>
                  <pic:nvPicPr>
                    <pic:cNvPr id="0" name="8bb5af26f2d53f83081d3589f3e46e91dcc41237965bd53277464d7bb1d60c91.png"/>
                    <pic:cNvPicPr/>
                  </pic:nvPicPr>
                  <pic:blipFill>
                    <a:blip r:embed="rId66"/>
                    <a:stretch>
                      <a:fillRect/>
                    </a:stretch>
                  </pic:blipFill>
                  <pic:spPr>
                    <a:xfrm>
                      <a:off x="0" y="0"/>
                      <a:ext cx="4184294" cy="328965"/>
                    </a:xfrm>
                    <a:prstGeom prst="rect"/>
                  </pic:spPr>
                </pic:pic>
              </a:graphicData>
            </a:graphic>
          </wp:inline>
        </w:drawing>
      </w:r>
    </w:p>
    <w:p>
      <w:pPr>
        <w:spacing w:before="100" w:after="100"/>
        <w:jc w:val="center"/>
      </w:pPr>
      <w:r>
        <w:drawing>
          <wp:inline xmlns:a="http://schemas.openxmlformats.org/drawingml/2006/main" xmlns:pic="http://schemas.openxmlformats.org/drawingml/2006/picture">
            <wp:extent cx="4517136" cy="288476"/>
            <wp:docPr id="57" name="Picture 57"/>
            <wp:cNvGraphicFramePr>
              <a:graphicFrameLocks noChangeAspect="1"/>
            </wp:cNvGraphicFramePr>
            <a:graphic>
              <a:graphicData uri="http://schemas.openxmlformats.org/drawingml/2006/picture">
                <pic:pic>
                  <pic:nvPicPr>
                    <pic:cNvPr id="0" name="7a4a23bf28f1bfe29a49f65256b9a2de47a7221c284b5d2ccc109e40961ed0b1.png"/>
                    <pic:cNvPicPr/>
                  </pic:nvPicPr>
                  <pic:blipFill>
                    <a:blip r:embed="rId67"/>
                    <a:stretch>
                      <a:fillRect/>
                    </a:stretch>
                  </pic:blipFill>
                  <pic:spPr>
                    <a:xfrm>
                      <a:off x="0" y="0"/>
                      <a:ext cx="4517136" cy="288476"/>
                    </a:xfrm>
                    <a:prstGeom prst="rect"/>
                  </pic:spPr>
                </pic:pic>
              </a:graphicData>
            </a:graphic>
          </wp:inline>
        </w:drawing>
      </w:r>
    </w:p>
    <w:p>
      <w:pPr>
        <w:spacing w:after="120" w:line="300" w:lineRule="auto"/>
      </w:pPr>
      <w:r>
        <w:rPr>
          <w:rFonts w:ascii="Calibri" w:hAnsi="Calibri"/>
          <w:b w:val="0"/>
          <w:i w:val="0"/>
          <w:sz w:val="22"/>
        </w:rPr>
        <w:t>A valid Higgs application must reproduce the scalar potential spontaneous symmetry breaking vacuum expectation value gauge and Yukawa couplings particle masses and measured spectra  The numerical scale 125 GeV cannot be inserted as a fitted target and then reported as a prediction</w:t>
      </w:r>
    </w:p>
    <w:p>
      <w:pPr>
        <w:pStyle w:val="ListBullet"/>
        <w:spacing w:after="80" w:line="288" w:lineRule="auto"/>
      </w:pPr>
      <w:r>
        <w:rPr>
          <w:rFonts w:ascii="Calibri" w:hAnsi="Calibri"/>
          <w:b w:val="0"/>
          <w:i w:val="0"/>
          <w:sz w:val="22"/>
        </w:rPr>
        <w:t>No NSC Higgs potential has been independently derived</w:t>
      </w:r>
    </w:p>
    <w:p>
      <w:pPr>
        <w:pStyle w:val="ListBullet"/>
        <w:spacing w:after="80" w:line="288" w:lineRule="auto"/>
      </w:pPr>
      <w:r>
        <w:rPr>
          <w:rFonts w:ascii="Calibri" w:hAnsi="Calibri"/>
          <w:b w:val="0"/>
          <w:i w:val="0"/>
          <w:sz w:val="22"/>
        </w:rPr>
        <w:t>No mapping from Delta to particle mass has been validated</w:t>
      </w:r>
    </w:p>
    <w:p>
      <w:pPr>
        <w:pStyle w:val="ListBullet"/>
        <w:spacing w:after="80" w:line="288" w:lineRule="auto"/>
      </w:pPr>
      <w:r>
        <w:rPr>
          <w:rFonts w:ascii="Calibri" w:hAnsi="Calibri"/>
          <w:b w:val="0"/>
          <w:i w:val="0"/>
          <w:sz w:val="22"/>
        </w:rPr>
        <w:t>No collider observable has been predicted blind</w:t>
      </w:r>
    </w:p>
    <w:p>
      <w:pPr>
        <w:pStyle w:val="ListBullet"/>
        <w:spacing w:after="80" w:line="288" w:lineRule="auto"/>
      </w:pPr>
      <w:r>
        <w:rPr>
          <w:rFonts w:ascii="Calibri" w:hAnsi="Calibri"/>
          <w:b w:val="0"/>
          <w:i w:val="0"/>
          <w:sz w:val="22"/>
        </w:rPr>
        <w:t>The phrase softened vacuum remains an architectural metaphor</w:t>
      </w:r>
    </w:p>
    <w:p>
      <w:pPr>
        <w:spacing w:after="120"/>
      </w:pPr>
      <w:r>
        <w:rPr>
          <w:rFonts w:ascii="Calibri" w:hAnsi="Calibri"/>
          <w:b/>
          <w:i w:val="0"/>
          <w:color w:val="1F4D78"/>
          <w:sz w:val="18"/>
        </w:rPr>
        <w:t xml:space="preserve">CURRENT STATUS  </w:t>
      </w:r>
      <w:r>
        <w:rPr>
          <w:rFonts w:ascii="Calibri" w:hAnsi="Calibri"/>
          <w:b w:val="0"/>
          <w:i w:val="0"/>
          <w:sz w:val="20"/>
        </w:rPr>
        <w:t>HYPOTHESIS  not a proved physical result</w:t>
      </w:r>
    </w:p>
    <w:p>
      <w:pPr>
        <w:pStyle w:val="Heading1"/>
      </w:pPr>
      <w:r>
        <w:t>12  Other Exploratory Domains</w:t>
      </w:r>
    </w:p>
    <w:p>
      <w:pPr>
        <w:pStyle w:val="Heading2"/>
      </w:pPr>
      <w:r>
        <w:t>12 1  Time</w:t>
      </w:r>
    </w:p>
    <w:p>
      <w:pPr>
        <w:spacing w:after="120" w:line="300" w:lineRule="auto"/>
      </w:pPr>
      <w:r>
        <w:rPr>
          <w:rFonts w:ascii="Calibri" w:hAnsi="Calibri"/>
          <w:b w:val="0"/>
          <w:i w:val="0"/>
          <w:sz w:val="22"/>
        </w:rPr>
        <w:t>NSC does not assume physical time as a primitive  A proposed time observable may be a path cost or accumulated relational depth</w:t>
      </w:r>
    </w:p>
    <w:p>
      <w:pPr>
        <w:spacing w:before="100" w:after="100"/>
        <w:jc w:val="center"/>
      </w:pPr>
      <w:r>
        <w:drawing>
          <wp:inline xmlns:a="http://schemas.openxmlformats.org/drawingml/2006/main" xmlns:pic="http://schemas.openxmlformats.org/drawingml/2006/picture">
            <wp:extent cx="2567635" cy="625554"/>
            <wp:docPr id="58" name="Picture 58"/>
            <wp:cNvGraphicFramePr>
              <a:graphicFrameLocks noChangeAspect="1"/>
            </wp:cNvGraphicFramePr>
            <a:graphic>
              <a:graphicData uri="http://schemas.openxmlformats.org/drawingml/2006/picture">
                <pic:pic>
                  <pic:nvPicPr>
                    <pic:cNvPr id="0" name="0e83b956b4d3dd8d8b85aefb5d9bad500221d6fff3e1abaf063a8ee992d90f15.png"/>
                    <pic:cNvPicPr/>
                  </pic:nvPicPr>
                  <pic:blipFill>
                    <a:blip r:embed="rId68"/>
                    <a:stretch>
                      <a:fillRect/>
                    </a:stretch>
                  </pic:blipFill>
                  <pic:spPr>
                    <a:xfrm>
                      <a:off x="0" y="0"/>
                      <a:ext cx="2567635" cy="625554"/>
                    </a:xfrm>
                    <a:prstGeom prst="rect"/>
                  </pic:spPr>
                </pic:pic>
              </a:graphicData>
            </a:graphic>
          </wp:inline>
        </w:drawing>
      </w:r>
    </w:p>
    <w:p>
      <w:pPr>
        <w:spacing w:after="120" w:line="300" w:lineRule="auto"/>
      </w:pPr>
      <w:r>
        <w:rPr>
          <w:rFonts w:ascii="Calibri" w:hAnsi="Calibri"/>
          <w:b w:val="0"/>
          <w:i w:val="0"/>
          <w:sz w:val="22"/>
        </w:rPr>
        <w:t>The function Phi a clock calibration and recovery of relativistic time have not been uniquely derived</w:t>
      </w:r>
    </w:p>
    <w:p>
      <w:pPr>
        <w:pStyle w:val="Heading2"/>
      </w:pPr>
      <w:r>
        <w:t>12 2  Dark matter</w:t>
      </w:r>
    </w:p>
    <w:p>
      <w:pPr>
        <w:spacing w:after="120" w:line="300" w:lineRule="auto"/>
      </w:pPr>
      <w:r>
        <w:rPr>
          <w:rFonts w:ascii="Calibri" w:hAnsi="Calibri"/>
          <w:b w:val="0"/>
          <w:i w:val="0"/>
          <w:sz w:val="22"/>
        </w:rPr>
        <w:t>A holonomy or weak electromagnetic projection has been proposed as an analogy for hidden relational structure  No mass abundance collision cross section gravitational lensing signal or rotation curve has been derived  The status is hypothesis only</w:t>
      </w:r>
    </w:p>
    <w:p>
      <w:pPr>
        <w:pStyle w:val="Heading2"/>
      </w:pPr>
      <w:r>
        <w:t>12 3  Orbital closure and chemistry</w:t>
      </w:r>
    </w:p>
    <w:p>
      <w:pPr>
        <w:spacing w:after="120" w:line="300" w:lineRule="auto"/>
      </w:pPr>
      <w:r>
        <w:rPr>
          <w:rFonts w:ascii="Calibri" w:hAnsi="Calibri"/>
          <w:b w:val="0"/>
          <w:i w:val="0"/>
          <w:sz w:val="22"/>
        </w:rPr>
        <w:t>Closure geometry has been explored as a possible representation of orbitals  No energy spectrum quantum numbers chemical bonding rule or experimental prediction has been established</w:t>
      </w:r>
    </w:p>
    <w:p>
      <w:pPr>
        <w:pStyle w:val="Heading2"/>
      </w:pPr>
      <w:r>
        <w:t>12 4  Network observations</w:t>
      </w:r>
    </w:p>
    <w:p>
      <w:pPr>
        <w:spacing w:after="120" w:line="300" w:lineRule="auto"/>
      </w:pPr>
      <w:r>
        <w:rPr>
          <w:rFonts w:ascii="Calibri" w:hAnsi="Calibri"/>
          <w:b w:val="0"/>
          <w:i w:val="0"/>
          <w:sz w:val="22"/>
        </w:rPr>
        <w:t>Earlier random network experiments produced entropy like values near 2.70 to 2.72 and were compared with Euler number e  The audit rejected convergence to e because the statistic generator null model and scaling law were not frozen sufficiently  These values remain numerical observations</w:t>
      </w:r>
    </w:p>
    <w:p>
      <w:pPr>
        <w:pStyle w:val="Heading1"/>
      </w:pPr>
      <w:r>
        <w:t>13  Compression Benchmarks</w:t>
      </w:r>
    </w:p>
    <w:p>
      <w:pPr>
        <w:pStyle w:val="Heading2"/>
      </w:pPr>
      <w:r>
        <w:t>13 1  Hidden absorption efficiency</w:t>
      </w:r>
    </w:p>
    <w:tbl>
      <w:tblPr>
        <w:tblW w:type="dxa" w:w="9360"/>
        <w:jc w:val="center"/>
        <w:tblLayout w:type="fixed"/>
        <w:tblLook w:firstColumn="1" w:firstRow="1" w:lastColumn="0" w:lastRow="0" w:noHBand="0" w:noVBand="1" w:val="04A0"/>
        <w:tblInd w:w="120" w:type="dxa"/>
      </w:tblPr>
      <w:tblGrid>
        <w:gridCol w:w="3300"/>
        <w:gridCol w:w="3030"/>
        <w:gridCol w:w="3030"/>
      </w:tblGrid>
      <w:tr>
        <w:tc>
          <w:tcPr>
            <w:tcW w:type="dxa" w:w="3300"/>
            <w:shd w:fill="E8EEF5"/>
            <w:tcMar>
              <w:top w:w="80" w:type="dxa"/>
              <w:start w:w="120" w:type="dxa"/>
              <w:bottom w:w="80" w:type="dxa"/>
              <w:end w:w="120" w:type="dxa"/>
            </w:tcMar>
            <w:vAlign w:val="center"/>
          </w:tcPr>
          <w:p>
            <w:pPr>
              <w:spacing w:after="0"/>
            </w:pPr>
            <w:r>
              <w:rPr>
                <w:rFonts w:ascii="Calibri" w:hAnsi="Calibri"/>
                <w:b/>
                <w:i w:val="0"/>
                <w:color w:val="1F4D78"/>
                <w:sz w:val="18"/>
              </w:rPr>
              <w:t>Metric</w:t>
            </w:r>
          </w:p>
        </w:tc>
        <w:tc>
          <w:tcPr>
            <w:tcW w:type="dxa" w:w="3030"/>
            <w:shd w:fill="E8EEF5"/>
            <w:tcMar>
              <w:top w:w="80" w:type="dxa"/>
              <w:start w:w="120" w:type="dxa"/>
              <w:bottom w:w="80" w:type="dxa"/>
              <w:end w:w="120" w:type="dxa"/>
            </w:tcMar>
            <w:vAlign w:val="center"/>
          </w:tcPr>
          <w:p>
            <w:pPr>
              <w:spacing w:after="0"/>
            </w:pPr>
            <w:r>
              <w:rPr>
                <w:rFonts w:ascii="Calibri" w:hAnsi="Calibri"/>
                <w:b/>
                <w:i w:val="0"/>
                <w:color w:val="1F4D78"/>
                <w:sz w:val="18"/>
              </w:rPr>
              <w:t>NSC</w:t>
            </w:r>
          </w:p>
        </w:tc>
        <w:tc>
          <w:tcPr>
            <w:tcW w:type="dxa" w:w="3030"/>
            <w:shd w:fill="E8EEF5"/>
            <w:tcMar>
              <w:top w:w="80" w:type="dxa"/>
              <w:start w:w="120" w:type="dxa"/>
              <w:bottom w:w="80" w:type="dxa"/>
              <w:end w:w="120" w:type="dxa"/>
            </w:tcMar>
            <w:vAlign w:val="center"/>
          </w:tcPr>
          <w:p>
            <w:pPr>
              <w:spacing w:after="0"/>
            </w:pPr>
            <w:r>
              <w:rPr>
                <w:rFonts w:ascii="Calibri" w:hAnsi="Calibri"/>
                <w:b/>
                <w:i w:val="0"/>
                <w:color w:val="1F4D78"/>
                <w:sz w:val="18"/>
              </w:rPr>
              <w:t>Generic MLP</w:t>
            </w:r>
          </w:p>
        </w:tc>
      </w:tr>
      <w:tr>
        <w:tc>
          <w:tcPr>
            <w:tcW w:type="dxa" w:w="3300"/>
            <w:tcMar>
              <w:top w:w="80" w:type="dxa"/>
              <w:start w:w="120" w:type="dxa"/>
              <w:bottom w:w="80" w:type="dxa"/>
              <w:end w:w="120" w:type="dxa"/>
            </w:tcMar>
            <w:vAlign w:val="center"/>
          </w:tcPr>
          <w:p>
            <w:pPr>
              <w:spacing w:after="0"/>
            </w:pPr>
            <w:r>
              <w:rPr>
                <w:rFonts w:ascii="Calibri" w:hAnsi="Calibri"/>
                <w:b w:val="0"/>
                <w:i w:val="0"/>
                <w:sz w:val="18"/>
              </w:rPr>
              <w:t>Parameters</w:t>
            </w:r>
          </w:p>
        </w:tc>
        <w:tc>
          <w:tcPr>
            <w:tcW w:type="dxa" w:w="3030"/>
            <w:tcMar>
              <w:top w:w="80" w:type="dxa"/>
              <w:start w:w="120" w:type="dxa"/>
              <w:bottom w:w="80" w:type="dxa"/>
              <w:end w:w="120" w:type="dxa"/>
            </w:tcMar>
            <w:vAlign w:val="center"/>
          </w:tcPr>
          <w:p>
            <w:pPr>
              <w:spacing w:after="0"/>
            </w:pPr>
            <w:r>
              <w:rPr>
                <w:rFonts w:ascii="Calibri" w:hAnsi="Calibri"/>
                <w:b w:val="0"/>
                <w:i w:val="0"/>
                <w:sz w:val="18"/>
              </w:rPr>
              <w:t>14</w:t>
            </w:r>
          </w:p>
        </w:tc>
        <w:tc>
          <w:tcPr>
            <w:tcW w:type="dxa" w:w="3030"/>
            <w:tcMar>
              <w:top w:w="80" w:type="dxa"/>
              <w:start w:w="120" w:type="dxa"/>
              <w:bottom w:w="80" w:type="dxa"/>
              <w:end w:w="120" w:type="dxa"/>
            </w:tcMar>
            <w:vAlign w:val="center"/>
          </w:tcPr>
          <w:p>
            <w:pPr>
              <w:spacing w:after="0"/>
            </w:pPr>
            <w:r>
              <w:rPr>
                <w:rFonts w:ascii="Calibri" w:hAnsi="Calibri"/>
                <w:b w:val="0"/>
                <w:i w:val="0"/>
                <w:sz w:val="18"/>
              </w:rPr>
              <w:t>4546</w:t>
            </w:r>
          </w:p>
        </w:tc>
      </w:tr>
      <w:tr>
        <w:tc>
          <w:tcPr>
            <w:tcW w:type="dxa" w:w="3300"/>
            <w:tcMar>
              <w:top w:w="80" w:type="dxa"/>
              <w:start w:w="120" w:type="dxa"/>
              <w:bottom w:w="80" w:type="dxa"/>
              <w:end w:w="120" w:type="dxa"/>
            </w:tcMar>
            <w:vAlign w:val="center"/>
          </w:tcPr>
          <w:p>
            <w:pPr>
              <w:spacing w:after="0"/>
            </w:pPr>
            <w:r>
              <w:rPr>
                <w:rFonts w:ascii="Calibri" w:hAnsi="Calibri"/>
                <w:b w:val="0"/>
                <w:i w:val="0"/>
                <w:sz w:val="18"/>
              </w:rPr>
              <w:t>Parameter ratio</w:t>
            </w:r>
          </w:p>
        </w:tc>
        <w:tc>
          <w:tcPr>
            <w:tcW w:type="dxa" w:w="3030"/>
            <w:tcMar>
              <w:top w:w="80" w:type="dxa"/>
              <w:start w:w="120" w:type="dxa"/>
              <w:bottom w:w="80" w:type="dxa"/>
              <w:end w:w="120" w:type="dxa"/>
            </w:tcMar>
            <w:vAlign w:val="center"/>
          </w:tcPr>
          <w:p>
            <w:pPr>
              <w:spacing w:after="0"/>
            </w:pPr>
            <w:r>
              <w:rPr>
                <w:rFonts w:ascii="Calibri" w:hAnsi="Calibri"/>
                <w:b w:val="0"/>
                <w:i w:val="0"/>
                <w:sz w:val="18"/>
              </w:rPr>
              <w:t>0.0030796</w:t>
            </w:r>
          </w:p>
        </w:tc>
        <w:tc>
          <w:tcPr>
            <w:tcW w:type="dxa" w:w="3030"/>
            <w:tcMar>
              <w:top w:w="80" w:type="dxa"/>
              <w:start w:w="120" w:type="dxa"/>
              <w:bottom w:w="80" w:type="dxa"/>
              <w:end w:w="120" w:type="dxa"/>
            </w:tcMar>
            <w:vAlign w:val="center"/>
          </w:tcPr>
          <w:p>
            <w:pPr>
              <w:spacing w:after="0"/>
            </w:pPr>
            <w:r>
              <w:rPr>
                <w:rFonts w:ascii="Calibri" w:hAnsi="Calibri"/>
                <w:b w:val="0"/>
                <w:i w:val="0"/>
                <w:sz w:val="18"/>
              </w:rPr>
              <w:t>1</w:t>
            </w:r>
          </w:p>
        </w:tc>
      </w:tr>
      <w:tr>
        <w:tc>
          <w:tcPr>
            <w:tcW w:type="dxa" w:w="3300"/>
            <w:tcMar>
              <w:top w:w="80" w:type="dxa"/>
              <w:start w:w="120" w:type="dxa"/>
              <w:bottom w:w="80" w:type="dxa"/>
              <w:end w:w="120" w:type="dxa"/>
            </w:tcMar>
            <w:vAlign w:val="center"/>
          </w:tcPr>
          <w:p>
            <w:pPr>
              <w:spacing w:after="0"/>
            </w:pPr>
            <w:r>
              <w:rPr>
                <w:rFonts w:ascii="Calibri" w:hAnsi="Calibri"/>
                <w:b w:val="0"/>
                <w:i w:val="0"/>
                <w:sz w:val="18"/>
              </w:rPr>
              <w:t>Minimum samples to target RMSE</w:t>
            </w:r>
          </w:p>
        </w:tc>
        <w:tc>
          <w:tcPr>
            <w:tcW w:type="dxa" w:w="3030"/>
            <w:tcMar>
              <w:top w:w="80" w:type="dxa"/>
              <w:start w:w="120" w:type="dxa"/>
              <w:bottom w:w="80" w:type="dxa"/>
              <w:end w:w="120" w:type="dxa"/>
            </w:tcMar>
            <w:vAlign w:val="center"/>
          </w:tcPr>
          <w:p>
            <w:pPr>
              <w:spacing w:after="0"/>
            </w:pPr>
            <w:r>
              <w:rPr>
                <w:rFonts w:ascii="Calibri" w:hAnsi="Calibri"/>
                <w:b w:val="0"/>
                <w:i w:val="0"/>
                <w:sz w:val="18"/>
              </w:rPr>
              <w:t>250</w:t>
            </w:r>
          </w:p>
        </w:tc>
        <w:tc>
          <w:tcPr>
            <w:tcW w:type="dxa" w:w="3030"/>
            <w:tcMar>
              <w:top w:w="80" w:type="dxa"/>
              <w:start w:w="120" w:type="dxa"/>
              <w:bottom w:w="80" w:type="dxa"/>
              <w:end w:w="120" w:type="dxa"/>
            </w:tcMar>
            <w:vAlign w:val="center"/>
          </w:tcPr>
          <w:p>
            <w:pPr>
              <w:spacing w:after="0"/>
            </w:pPr>
            <w:r>
              <w:rPr>
                <w:rFonts w:ascii="Calibri" w:hAnsi="Calibri"/>
                <w:b w:val="0"/>
                <w:i w:val="0"/>
                <w:sz w:val="18"/>
              </w:rPr>
              <w:t>Not reached at 8000</w:t>
            </w:r>
          </w:p>
        </w:tc>
      </w:tr>
      <w:tr>
        <w:tc>
          <w:tcPr>
            <w:tcW w:type="dxa" w:w="3300"/>
            <w:tcMar>
              <w:top w:w="80" w:type="dxa"/>
              <w:start w:w="120" w:type="dxa"/>
              <w:bottom w:w="80" w:type="dxa"/>
              <w:end w:w="120" w:type="dxa"/>
            </w:tcMar>
            <w:vAlign w:val="center"/>
          </w:tcPr>
          <w:p>
            <w:pPr>
              <w:spacing w:after="0"/>
            </w:pPr>
            <w:r>
              <w:rPr>
                <w:rFonts w:ascii="Calibri" w:hAnsi="Calibri"/>
                <w:b w:val="0"/>
                <w:i w:val="0"/>
                <w:sz w:val="18"/>
              </w:rPr>
              <w:t>RMSE at 250 samples</w:t>
            </w:r>
          </w:p>
        </w:tc>
        <w:tc>
          <w:tcPr>
            <w:tcW w:type="dxa" w:w="3030"/>
            <w:tcMar>
              <w:top w:w="80" w:type="dxa"/>
              <w:start w:w="120" w:type="dxa"/>
              <w:bottom w:w="80" w:type="dxa"/>
              <w:end w:w="120" w:type="dxa"/>
            </w:tcMar>
            <w:vAlign w:val="center"/>
          </w:tcPr>
          <w:p>
            <w:pPr>
              <w:spacing w:after="0"/>
            </w:pPr>
            <w:r>
              <w:rPr>
                <w:rFonts w:ascii="Calibri" w:hAnsi="Calibri"/>
                <w:b w:val="0"/>
                <w:i w:val="0"/>
                <w:sz w:val="18"/>
              </w:rPr>
              <w:t>0.004861</w:t>
            </w:r>
          </w:p>
        </w:tc>
        <w:tc>
          <w:tcPr>
            <w:tcW w:type="dxa" w:w="3030"/>
            <w:tcMar>
              <w:top w:w="80" w:type="dxa"/>
              <w:start w:w="120" w:type="dxa"/>
              <w:bottom w:w="80" w:type="dxa"/>
              <w:end w:w="120" w:type="dxa"/>
            </w:tcMar>
            <w:vAlign w:val="center"/>
          </w:tcPr>
          <w:p>
            <w:pPr>
              <w:spacing w:after="0"/>
            </w:pPr>
            <w:r>
              <w:rPr>
                <w:rFonts w:ascii="Calibri" w:hAnsi="Calibri"/>
                <w:b w:val="0"/>
                <w:i w:val="0"/>
                <w:sz w:val="18"/>
              </w:rPr>
              <w:t>0.081683</w:t>
            </w:r>
          </w:p>
        </w:tc>
      </w:tr>
      <w:tr>
        <w:tc>
          <w:tcPr>
            <w:tcW w:type="dxa" w:w="3300"/>
            <w:tcMar>
              <w:top w:w="80" w:type="dxa"/>
              <w:start w:w="120" w:type="dxa"/>
              <w:bottom w:w="80" w:type="dxa"/>
              <w:end w:w="120" w:type="dxa"/>
            </w:tcMar>
            <w:vAlign w:val="center"/>
          </w:tcPr>
          <w:p>
            <w:pPr>
              <w:spacing w:after="0"/>
            </w:pPr>
            <w:r>
              <w:rPr>
                <w:rFonts w:ascii="Calibri" w:hAnsi="Calibri"/>
                <w:b w:val="0"/>
                <w:i w:val="0"/>
                <w:sz w:val="18"/>
              </w:rPr>
              <w:t>Inference on 5000 samples</w:t>
            </w:r>
          </w:p>
        </w:tc>
        <w:tc>
          <w:tcPr>
            <w:tcW w:type="dxa" w:w="3030"/>
            <w:tcMar>
              <w:top w:w="80" w:type="dxa"/>
              <w:start w:w="120" w:type="dxa"/>
              <w:bottom w:w="80" w:type="dxa"/>
              <w:end w:w="120" w:type="dxa"/>
            </w:tcMar>
            <w:vAlign w:val="center"/>
          </w:tcPr>
          <w:p>
            <w:pPr>
              <w:spacing w:after="0"/>
            </w:pPr>
            <w:r>
              <w:rPr>
                <w:rFonts w:ascii="Calibri" w:hAnsi="Calibri"/>
                <w:b w:val="0"/>
                <w:i w:val="0"/>
                <w:sz w:val="18"/>
              </w:rPr>
              <w:t>0.000752 s</w:t>
            </w:r>
          </w:p>
        </w:tc>
        <w:tc>
          <w:tcPr>
            <w:tcW w:type="dxa" w:w="3030"/>
            <w:tcMar>
              <w:top w:w="80" w:type="dxa"/>
              <w:start w:w="120" w:type="dxa"/>
              <w:bottom w:w="80" w:type="dxa"/>
              <w:end w:w="120" w:type="dxa"/>
            </w:tcMar>
            <w:vAlign w:val="center"/>
          </w:tcPr>
          <w:p>
            <w:pPr>
              <w:spacing w:after="0"/>
            </w:pPr>
            <w:r>
              <w:rPr>
                <w:rFonts w:ascii="Calibri" w:hAnsi="Calibri"/>
                <w:b w:val="0"/>
                <w:i w:val="0"/>
                <w:sz w:val="18"/>
              </w:rPr>
              <w:t>0.003582 s</w:t>
            </w:r>
          </w:p>
        </w:tc>
      </w:tr>
    </w:tbl>
    <w:p>
      <w:pPr>
        <w:spacing w:after="0"/>
      </w:pPr>
    </w:p>
    <w:p>
      <w:pPr>
        <w:spacing w:after="120" w:line="300" w:lineRule="auto"/>
      </w:pPr>
      <w:r>
        <w:rPr>
          <w:rFonts w:ascii="Calibri" w:hAnsi="Calibri"/>
          <w:b w:val="0"/>
          <w:i w:val="0"/>
          <w:sz w:val="22"/>
        </w:rPr>
        <w:t>The verdict was PASS for compactness and sample efficiency against the tested generic MLP  Timing was reported but was not a preregistered pass criterion  The baseline did not standardize outputs and was not a maximally tuned adversary  The result therefore cannot establish universal superiority</w:t>
      </w:r>
    </w:p>
    <w:p>
      <w:pPr>
        <w:pStyle w:val="Heading2"/>
      </w:pPr>
      <w:r>
        <w:t>13 2  Official nanophotonics gate</w:t>
      </w:r>
    </w:p>
    <w:p>
      <w:pPr>
        <w:spacing w:after="120" w:line="300" w:lineRule="auto"/>
      </w:pPr>
      <w:r>
        <w:rPr>
          <w:rFonts w:ascii="Calibri" w:hAnsi="Calibri"/>
          <w:b w:val="0"/>
          <w:i w:val="0"/>
          <w:sz w:val="22"/>
        </w:rPr>
        <w:t>The public RCWA xyY dataset contained 8411 samples with four geometry variables and three color variables  The official split used 6000 training 1000 validation and 1411 blind test samples</w:t>
      </w:r>
    </w:p>
    <w:tbl>
      <w:tblPr>
        <w:tblW w:type="dxa" w:w="9360"/>
        <w:jc w:val="center"/>
        <w:tblLayout w:type="fixed"/>
        <w:tblLook w:firstColumn="1" w:firstRow="1" w:lastColumn="0" w:lastRow="0" w:noHBand="0" w:noVBand="1" w:val="04A0"/>
        <w:tblInd w:w="120" w:type="dxa"/>
      </w:tblPr>
      <w:tblGrid>
        <w:gridCol w:w="2500"/>
        <w:gridCol w:w="1500"/>
        <w:gridCol w:w="1700"/>
        <w:gridCol w:w="1700"/>
        <w:gridCol w:w="1960"/>
      </w:tblGrid>
      <w:tr>
        <w:tc>
          <w:tcPr>
            <w:tcW w:type="dxa" w:w="2500"/>
            <w:shd w:fill="E8EEF5"/>
            <w:tcMar>
              <w:top w:w="80" w:type="dxa"/>
              <w:start w:w="120" w:type="dxa"/>
              <w:bottom w:w="80" w:type="dxa"/>
              <w:end w:w="120" w:type="dxa"/>
            </w:tcMar>
            <w:vAlign w:val="center"/>
          </w:tcPr>
          <w:p>
            <w:pPr>
              <w:spacing w:after="0"/>
            </w:pPr>
            <w:r>
              <w:rPr>
                <w:rFonts w:ascii="Calibri" w:hAnsi="Calibri"/>
                <w:b/>
                <w:i w:val="0"/>
                <w:color w:val="1F4D78"/>
                <w:sz w:val="18"/>
              </w:rPr>
              <w:t>Model</w:t>
            </w:r>
          </w:p>
        </w:tc>
        <w:tc>
          <w:tcPr>
            <w:tcW w:type="dxa" w:w="1500"/>
            <w:shd w:fill="E8EEF5"/>
            <w:tcMar>
              <w:top w:w="80" w:type="dxa"/>
              <w:start w:w="120" w:type="dxa"/>
              <w:bottom w:w="80" w:type="dxa"/>
              <w:end w:w="120" w:type="dxa"/>
            </w:tcMar>
            <w:vAlign w:val="center"/>
          </w:tcPr>
          <w:p>
            <w:pPr>
              <w:spacing w:after="0"/>
            </w:pPr>
            <w:r>
              <w:rPr>
                <w:rFonts w:ascii="Calibri" w:hAnsi="Calibri"/>
                <w:b/>
                <w:i w:val="0"/>
                <w:color w:val="1F4D78"/>
                <w:sz w:val="18"/>
              </w:rPr>
              <w:t>Parameters</w:t>
            </w:r>
          </w:p>
        </w:tc>
        <w:tc>
          <w:tcPr>
            <w:tcW w:type="dxa" w:w="1700"/>
            <w:shd w:fill="E8EEF5"/>
            <w:tcMar>
              <w:top w:w="80" w:type="dxa"/>
              <w:start w:w="120" w:type="dxa"/>
              <w:bottom w:w="80" w:type="dxa"/>
              <w:end w:w="120" w:type="dxa"/>
            </w:tcMar>
            <w:vAlign w:val="center"/>
          </w:tcPr>
          <w:p>
            <w:pPr>
              <w:spacing w:after="0"/>
            </w:pPr>
            <w:r>
              <w:rPr>
                <w:rFonts w:ascii="Calibri" w:hAnsi="Calibri"/>
                <w:b/>
                <w:i w:val="0"/>
                <w:color w:val="1F4D78"/>
                <w:sz w:val="18"/>
              </w:rPr>
              <w:t>Blind RMSE</w:t>
            </w:r>
          </w:p>
        </w:tc>
        <w:tc>
          <w:tcPr>
            <w:tcW w:type="dxa" w:w="1700"/>
            <w:shd w:fill="E8EEF5"/>
            <w:tcMar>
              <w:top w:w="80" w:type="dxa"/>
              <w:start w:w="120" w:type="dxa"/>
              <w:bottom w:w="80" w:type="dxa"/>
              <w:end w:w="120" w:type="dxa"/>
            </w:tcMar>
            <w:vAlign w:val="center"/>
          </w:tcPr>
          <w:p>
            <w:pPr>
              <w:spacing w:after="0"/>
            </w:pPr>
            <w:r>
              <w:rPr>
                <w:rFonts w:ascii="Calibri" w:hAnsi="Calibri"/>
                <w:b/>
                <w:i w:val="0"/>
                <w:color w:val="1F4D78"/>
                <w:sz w:val="18"/>
              </w:rPr>
              <w:t>Blind MAE</w:t>
            </w:r>
          </w:p>
        </w:tc>
        <w:tc>
          <w:tcPr>
            <w:tcW w:type="dxa" w:w="1960"/>
            <w:shd w:fill="E8EEF5"/>
            <w:tcMar>
              <w:top w:w="80" w:type="dxa"/>
              <w:start w:w="120" w:type="dxa"/>
              <w:bottom w:w="80" w:type="dxa"/>
              <w:end w:w="120" w:type="dxa"/>
            </w:tcMar>
            <w:vAlign w:val="center"/>
          </w:tcPr>
          <w:p>
            <w:pPr>
              <w:spacing w:after="0"/>
            </w:pPr>
            <w:r>
              <w:rPr>
                <w:rFonts w:ascii="Calibri" w:hAnsi="Calibri"/>
                <w:b/>
                <w:i w:val="0"/>
                <w:color w:val="1F4D78"/>
                <w:sz w:val="18"/>
              </w:rPr>
              <w:t>Verdict</w:t>
            </w:r>
          </w:p>
        </w:tc>
      </w:tr>
      <w:tr>
        <w:tc>
          <w:tcPr>
            <w:tcW w:type="dxa" w:w="2500"/>
            <w:tcMar>
              <w:top w:w="80" w:type="dxa"/>
              <w:start w:w="120" w:type="dxa"/>
              <w:bottom w:w="80" w:type="dxa"/>
              <w:end w:w="120" w:type="dxa"/>
            </w:tcMar>
            <w:vAlign w:val="center"/>
          </w:tcPr>
          <w:p>
            <w:pPr>
              <w:spacing w:after="0"/>
            </w:pPr>
            <w:r>
              <w:rPr>
                <w:rFonts w:ascii="Calibri" w:hAnsi="Calibri"/>
                <w:b w:val="0"/>
                <w:i w:val="0"/>
                <w:sz w:val="18"/>
              </w:rPr>
              <w:t>MLP reference</w:t>
            </w:r>
          </w:p>
        </w:tc>
        <w:tc>
          <w:tcPr>
            <w:tcW w:type="dxa" w:w="1500"/>
            <w:tcMar>
              <w:top w:w="80" w:type="dxa"/>
              <w:start w:w="120" w:type="dxa"/>
              <w:bottom w:w="80" w:type="dxa"/>
              <w:end w:w="120" w:type="dxa"/>
            </w:tcMar>
            <w:vAlign w:val="center"/>
          </w:tcPr>
          <w:p>
            <w:pPr>
              <w:spacing w:after="0"/>
            </w:pPr>
            <w:r>
              <w:rPr>
                <w:rFonts w:ascii="Calibri" w:hAnsi="Calibri"/>
                <w:b w:val="0"/>
                <w:i w:val="0"/>
                <w:sz w:val="18"/>
              </w:rPr>
              <w:t>4675</w:t>
            </w:r>
          </w:p>
        </w:tc>
        <w:tc>
          <w:tcPr>
            <w:tcW w:type="dxa" w:w="1700"/>
            <w:tcMar>
              <w:top w:w="80" w:type="dxa"/>
              <w:start w:w="120" w:type="dxa"/>
              <w:bottom w:w="80" w:type="dxa"/>
              <w:end w:w="120" w:type="dxa"/>
            </w:tcMar>
            <w:vAlign w:val="center"/>
          </w:tcPr>
          <w:p>
            <w:pPr>
              <w:spacing w:after="0"/>
            </w:pPr>
            <w:r>
              <w:rPr>
                <w:rFonts w:ascii="Calibri" w:hAnsi="Calibri"/>
                <w:b w:val="0"/>
                <w:i w:val="0"/>
                <w:sz w:val="18"/>
              </w:rPr>
              <w:t>0.037187</w:t>
            </w:r>
          </w:p>
        </w:tc>
        <w:tc>
          <w:tcPr>
            <w:tcW w:type="dxa" w:w="1700"/>
            <w:tcMar>
              <w:top w:w="80" w:type="dxa"/>
              <w:start w:w="120" w:type="dxa"/>
              <w:bottom w:w="80" w:type="dxa"/>
              <w:end w:w="120" w:type="dxa"/>
            </w:tcMar>
            <w:vAlign w:val="center"/>
          </w:tcPr>
          <w:p>
            <w:pPr>
              <w:spacing w:after="0"/>
            </w:pPr>
            <w:r>
              <w:rPr>
                <w:rFonts w:ascii="Calibri" w:hAnsi="Calibri"/>
                <w:b w:val="0"/>
                <w:i w:val="0"/>
                <w:sz w:val="18"/>
              </w:rPr>
              <w:t>0.026686</w:t>
            </w:r>
          </w:p>
        </w:tc>
        <w:tc>
          <w:tcPr>
            <w:tcW w:type="dxa" w:w="1960"/>
            <w:tcMar>
              <w:top w:w="80" w:type="dxa"/>
              <w:start w:w="120" w:type="dxa"/>
              <w:bottom w:w="80" w:type="dxa"/>
              <w:end w:w="120" w:type="dxa"/>
            </w:tcMar>
            <w:vAlign w:val="center"/>
          </w:tcPr>
          <w:p>
            <w:pPr>
              <w:spacing w:after="0"/>
            </w:pPr>
            <w:r>
              <w:rPr>
                <w:rFonts w:ascii="Calibri" w:hAnsi="Calibri"/>
                <w:b w:val="0"/>
                <w:i w:val="0"/>
                <w:sz w:val="18"/>
              </w:rPr>
              <w:t>Reference</w:t>
            </w:r>
          </w:p>
        </w:tc>
      </w:tr>
      <w:tr>
        <w:tc>
          <w:tcPr>
            <w:tcW w:type="dxa" w:w="2500"/>
            <w:tcMar>
              <w:top w:w="80" w:type="dxa"/>
              <w:start w:w="120" w:type="dxa"/>
              <w:bottom w:w="80" w:type="dxa"/>
              <w:end w:w="120" w:type="dxa"/>
            </w:tcMar>
            <w:vAlign w:val="center"/>
          </w:tcPr>
          <w:p>
            <w:pPr>
              <w:spacing w:after="0"/>
            </w:pPr>
            <w:r>
              <w:rPr>
                <w:rFonts w:ascii="Calibri" w:hAnsi="Calibri"/>
                <w:b w:val="0"/>
                <w:i w:val="0"/>
                <w:sz w:val="18"/>
              </w:rPr>
              <w:t>Degree 7 polynomial proxy</w:t>
            </w:r>
          </w:p>
        </w:tc>
        <w:tc>
          <w:tcPr>
            <w:tcW w:type="dxa" w:w="1500"/>
            <w:tcMar>
              <w:top w:w="80" w:type="dxa"/>
              <w:start w:w="120" w:type="dxa"/>
              <w:bottom w:w="80" w:type="dxa"/>
              <w:end w:w="120" w:type="dxa"/>
            </w:tcMar>
            <w:vAlign w:val="center"/>
          </w:tcPr>
          <w:p>
            <w:pPr>
              <w:spacing w:after="0"/>
            </w:pPr>
            <w:r>
              <w:rPr>
                <w:rFonts w:ascii="Calibri" w:hAnsi="Calibri"/>
                <w:b w:val="0"/>
                <w:i w:val="0"/>
                <w:sz w:val="18"/>
              </w:rPr>
              <w:t>993</w:t>
            </w:r>
          </w:p>
        </w:tc>
        <w:tc>
          <w:tcPr>
            <w:tcW w:type="dxa" w:w="1700"/>
            <w:tcMar>
              <w:top w:w="80" w:type="dxa"/>
              <w:start w:w="120" w:type="dxa"/>
              <w:bottom w:w="80" w:type="dxa"/>
              <w:end w:w="120" w:type="dxa"/>
            </w:tcMar>
            <w:vAlign w:val="center"/>
          </w:tcPr>
          <w:p>
            <w:pPr>
              <w:spacing w:after="0"/>
            </w:pPr>
            <w:r>
              <w:rPr>
                <w:rFonts w:ascii="Calibri" w:hAnsi="Calibri"/>
                <w:b w:val="0"/>
                <w:i w:val="0"/>
                <w:sz w:val="18"/>
              </w:rPr>
              <w:t>0.032300</w:t>
            </w:r>
          </w:p>
        </w:tc>
        <w:tc>
          <w:tcPr>
            <w:tcW w:type="dxa" w:w="1700"/>
            <w:tcMar>
              <w:top w:w="80" w:type="dxa"/>
              <w:start w:w="120" w:type="dxa"/>
              <w:bottom w:w="80" w:type="dxa"/>
              <w:end w:w="120" w:type="dxa"/>
            </w:tcMar>
            <w:vAlign w:val="center"/>
          </w:tcPr>
          <w:p>
            <w:pPr>
              <w:spacing w:after="0"/>
            </w:pPr>
            <w:r>
              <w:rPr>
                <w:rFonts w:ascii="Calibri" w:hAnsi="Calibri"/>
                <w:b w:val="0"/>
                <w:i w:val="0"/>
                <w:sz w:val="18"/>
              </w:rPr>
              <w:t>0.021501</w:t>
            </w:r>
          </w:p>
        </w:tc>
        <w:tc>
          <w:tcPr>
            <w:tcW w:type="dxa" w:w="1960"/>
            <w:tcMar>
              <w:top w:w="80" w:type="dxa"/>
              <w:start w:w="120" w:type="dxa"/>
              <w:bottom w:w="80" w:type="dxa"/>
              <w:end w:w="120" w:type="dxa"/>
            </w:tcMar>
            <w:vAlign w:val="center"/>
          </w:tcPr>
          <w:p>
            <w:pPr>
              <w:spacing w:after="0"/>
            </w:pPr>
            <w:r>
              <w:rPr>
                <w:rFonts w:ascii="Calibri" w:hAnsi="Calibri"/>
                <w:b w:val="0"/>
                <w:i w:val="0"/>
                <w:sz w:val="18"/>
              </w:rPr>
              <w:t>Compact success but not NSC proof</w:t>
            </w:r>
          </w:p>
        </w:tc>
      </w:tr>
      <w:tr>
        <w:tc>
          <w:tcPr>
            <w:tcW w:type="dxa" w:w="2500"/>
            <w:tcMar>
              <w:top w:w="80" w:type="dxa"/>
              <w:start w:w="120" w:type="dxa"/>
              <w:bottom w:w="80" w:type="dxa"/>
              <w:end w:w="120" w:type="dxa"/>
            </w:tcMar>
            <w:vAlign w:val="center"/>
          </w:tcPr>
          <w:p>
            <w:pPr>
              <w:spacing w:after="0"/>
            </w:pPr>
            <w:r>
              <w:rPr>
                <w:rFonts w:ascii="Calibri" w:hAnsi="Calibri"/>
                <w:b w:val="0"/>
                <w:i w:val="0"/>
                <w:sz w:val="18"/>
              </w:rPr>
              <w:t>Commuting exponential NSC</w:t>
            </w:r>
          </w:p>
        </w:tc>
        <w:tc>
          <w:tcPr>
            <w:tcW w:type="dxa" w:w="1500"/>
            <w:tcMar>
              <w:top w:w="80" w:type="dxa"/>
              <w:start w:w="120" w:type="dxa"/>
              <w:bottom w:w="80" w:type="dxa"/>
              <w:end w:w="120" w:type="dxa"/>
            </w:tcMar>
            <w:vAlign w:val="center"/>
          </w:tcPr>
          <w:p>
            <w:pPr>
              <w:spacing w:after="0"/>
            </w:pPr>
            <w:r>
              <w:rPr>
                <w:rFonts w:ascii="Calibri" w:hAnsi="Calibri"/>
                <w:b w:val="0"/>
                <w:i w:val="0"/>
                <w:sz w:val="18"/>
              </w:rPr>
              <w:t>67</w:t>
            </w:r>
          </w:p>
        </w:tc>
        <w:tc>
          <w:tcPr>
            <w:tcW w:type="dxa" w:w="1700"/>
            <w:tcMar>
              <w:top w:w="80" w:type="dxa"/>
              <w:start w:w="120" w:type="dxa"/>
              <w:bottom w:w="80" w:type="dxa"/>
              <w:end w:w="120" w:type="dxa"/>
            </w:tcMar>
            <w:vAlign w:val="center"/>
          </w:tcPr>
          <w:p>
            <w:pPr>
              <w:spacing w:after="0"/>
            </w:pPr>
            <w:r>
              <w:rPr>
                <w:rFonts w:ascii="Calibri" w:hAnsi="Calibri"/>
                <w:b w:val="0"/>
                <w:i w:val="0"/>
                <w:sz w:val="18"/>
              </w:rPr>
              <w:t>0.090546</w:t>
            </w:r>
          </w:p>
        </w:tc>
        <w:tc>
          <w:tcPr>
            <w:tcW w:type="dxa" w:w="1700"/>
            <w:tcMar>
              <w:top w:w="80" w:type="dxa"/>
              <w:start w:w="120" w:type="dxa"/>
              <w:bottom w:w="80" w:type="dxa"/>
              <w:end w:w="120" w:type="dxa"/>
            </w:tcMar>
            <w:vAlign w:val="center"/>
          </w:tcPr>
          <w:p>
            <w:pPr>
              <w:spacing w:after="0"/>
            </w:pPr>
            <w:r>
              <w:rPr>
                <w:rFonts w:ascii="Calibri" w:hAnsi="Calibri"/>
                <w:b w:val="0"/>
                <w:i w:val="0"/>
                <w:sz w:val="18"/>
              </w:rPr>
              <w:t>0.067144</w:t>
            </w:r>
          </w:p>
        </w:tc>
        <w:tc>
          <w:tcPr>
            <w:tcW w:type="dxa" w:w="1960"/>
            <w:tcMar>
              <w:top w:w="80" w:type="dxa"/>
              <w:start w:w="120" w:type="dxa"/>
              <w:bottom w:w="80" w:type="dxa"/>
              <w:end w:w="120" w:type="dxa"/>
            </w:tcMar>
            <w:vAlign w:val="center"/>
          </w:tcPr>
          <w:p>
            <w:pPr>
              <w:spacing w:after="0"/>
            </w:pPr>
            <w:r>
              <w:rPr>
                <w:rFonts w:ascii="Calibri" w:hAnsi="Calibri"/>
                <w:b w:val="0"/>
                <w:i w:val="0"/>
                <w:sz w:val="18"/>
              </w:rPr>
              <w:t>Fidelity FAIL</w:t>
            </w:r>
          </w:p>
        </w:tc>
      </w:tr>
      <w:tr>
        <w:tc>
          <w:tcPr>
            <w:tcW w:type="dxa" w:w="2500"/>
            <w:tcMar>
              <w:top w:w="80" w:type="dxa"/>
              <w:start w:w="120" w:type="dxa"/>
              <w:bottom w:w="80" w:type="dxa"/>
              <w:end w:w="120" w:type="dxa"/>
            </w:tcMar>
            <w:vAlign w:val="center"/>
          </w:tcPr>
          <w:p>
            <w:pPr>
              <w:spacing w:after="0"/>
            </w:pPr>
            <w:r>
              <w:rPr>
                <w:rFonts w:ascii="Calibri" w:hAnsi="Calibri"/>
                <w:b w:val="0"/>
                <w:i w:val="0"/>
                <w:sz w:val="18"/>
              </w:rPr>
              <w:t>Noncommuting exponential NSC</w:t>
            </w:r>
          </w:p>
        </w:tc>
        <w:tc>
          <w:tcPr>
            <w:tcW w:type="dxa" w:w="1500"/>
            <w:tcMar>
              <w:top w:w="80" w:type="dxa"/>
              <w:start w:w="120" w:type="dxa"/>
              <w:bottom w:w="80" w:type="dxa"/>
              <w:end w:w="120" w:type="dxa"/>
            </w:tcMar>
            <w:vAlign w:val="center"/>
          </w:tcPr>
          <w:p>
            <w:pPr>
              <w:spacing w:after="0"/>
            </w:pPr>
            <w:r>
              <w:rPr>
                <w:rFonts w:ascii="Calibri" w:hAnsi="Calibri"/>
                <w:b w:val="0"/>
                <w:i w:val="0"/>
                <w:sz w:val="18"/>
              </w:rPr>
              <w:t>83</w:t>
            </w:r>
          </w:p>
        </w:tc>
        <w:tc>
          <w:tcPr>
            <w:tcW w:type="dxa" w:w="1700"/>
            <w:tcMar>
              <w:top w:w="80" w:type="dxa"/>
              <w:start w:w="120" w:type="dxa"/>
              <w:bottom w:w="80" w:type="dxa"/>
              <w:end w:w="120" w:type="dxa"/>
            </w:tcMar>
            <w:vAlign w:val="center"/>
          </w:tcPr>
          <w:p>
            <w:pPr>
              <w:spacing w:after="0"/>
            </w:pPr>
            <w:r>
              <w:rPr>
                <w:rFonts w:ascii="Calibri" w:hAnsi="Calibri"/>
                <w:b w:val="0"/>
                <w:i w:val="0"/>
                <w:sz w:val="18"/>
              </w:rPr>
              <w:t>0.133224</w:t>
            </w:r>
          </w:p>
        </w:tc>
        <w:tc>
          <w:tcPr>
            <w:tcW w:type="dxa" w:w="1700"/>
            <w:tcMar>
              <w:top w:w="80" w:type="dxa"/>
              <w:start w:w="120" w:type="dxa"/>
              <w:bottom w:w="80" w:type="dxa"/>
              <w:end w:w="120" w:type="dxa"/>
            </w:tcMar>
            <w:vAlign w:val="center"/>
          </w:tcPr>
          <w:p>
            <w:pPr>
              <w:spacing w:after="0"/>
            </w:pPr>
            <w:r>
              <w:rPr>
                <w:rFonts w:ascii="Calibri" w:hAnsi="Calibri"/>
                <w:b w:val="0"/>
                <w:i w:val="0"/>
                <w:sz w:val="18"/>
              </w:rPr>
              <w:t>0.101134</w:t>
            </w:r>
          </w:p>
        </w:tc>
        <w:tc>
          <w:tcPr>
            <w:tcW w:type="dxa" w:w="1960"/>
            <w:tcMar>
              <w:top w:w="80" w:type="dxa"/>
              <w:start w:w="120" w:type="dxa"/>
              <w:bottom w:w="80" w:type="dxa"/>
              <w:end w:w="120" w:type="dxa"/>
            </w:tcMar>
            <w:vAlign w:val="center"/>
          </w:tcPr>
          <w:p>
            <w:pPr>
              <w:spacing w:after="0"/>
            </w:pPr>
            <w:r>
              <w:rPr>
                <w:rFonts w:ascii="Calibri" w:hAnsi="Calibri"/>
                <w:b w:val="0"/>
                <w:i w:val="0"/>
                <w:sz w:val="18"/>
              </w:rPr>
              <w:t>Operational FAIL</w:t>
            </w:r>
          </w:p>
        </w:tc>
      </w:tr>
    </w:tbl>
    <w:p>
      <w:pPr>
        <w:spacing w:after="0"/>
      </w:pPr>
    </w:p>
    <w:p>
      <w:pPr>
        <w:spacing w:after="120" w:line="300" w:lineRule="auto"/>
      </w:pPr>
      <w:r>
        <w:rPr>
          <w:rFonts w:ascii="Calibri" w:hAnsi="Calibri"/>
          <w:b w:val="0"/>
          <w:i w:val="0"/>
          <w:sz w:val="22"/>
        </w:rPr>
        <w:t>The polynomial proxy showed that the dataset is compressible  It cannot automatically be labeled NSC because its polynomial coefficients are unconstrained  The true commuting exponential model compressed by about seventy times but lost accuracy  The noncommuting model also failed and did not converge within eighty iterations</w:t>
      </w:r>
    </w:p>
    <w:p>
      <w:pPr>
        <w:spacing w:after="120" w:line="300" w:lineRule="auto"/>
      </w:pPr>
      <w:r>
        <w:rPr>
          <w:rFonts w:ascii="Calibri" w:hAnsi="Calibri"/>
          <w:b w:val="0"/>
          <w:i w:val="0"/>
          <w:sz w:val="22"/>
        </w:rPr>
        <w:t>A key modeling lesson emerged  period diameter gap and height are simultaneous geometric features rather than an ordered physical sequence  Forcing them into an ordered product of transformations had no physical justification  Ordered Delta composition should be reserved for genuine layers events or path segments</w:t>
      </w:r>
    </w:p>
    <w:p>
      <w:pPr>
        <w:pStyle w:val="Heading1"/>
      </w:pPr>
      <w:r>
        <w:t>14  Formal Verification</w:t>
      </w:r>
    </w:p>
    <w:p>
      <w:pPr>
        <w:spacing w:after="120" w:line="300" w:lineRule="auto"/>
      </w:pPr>
      <w:r>
        <w:rPr>
          <w:rFonts w:ascii="Calibri" w:hAnsi="Calibri"/>
          <w:b w:val="0"/>
          <w:i w:val="0"/>
          <w:sz w:val="22"/>
        </w:rPr>
        <w:t>An independent verification script checked sixteen identities and all sixteen passed within floating point tolerance</w:t>
      </w:r>
    </w:p>
    <w:p>
      <w:pPr>
        <w:pStyle w:val="ListBullet"/>
        <w:spacing w:after="80" w:line="288" w:lineRule="auto"/>
      </w:pPr>
      <w:r>
        <w:rPr>
          <w:rFonts w:ascii="Calibri" w:hAnsi="Calibri"/>
          <w:b w:val="0"/>
          <w:i w:val="0"/>
          <w:sz w:val="22"/>
        </w:rPr>
        <w:t>Generator composition</w:t>
      </w:r>
    </w:p>
    <w:p>
      <w:pPr>
        <w:pStyle w:val="ListBullet"/>
        <w:spacing w:after="80" w:line="288" w:lineRule="auto"/>
      </w:pPr>
      <w:r>
        <w:rPr>
          <w:rFonts w:ascii="Calibri" w:hAnsi="Calibri"/>
          <w:b w:val="0"/>
          <w:i w:val="0"/>
          <w:sz w:val="22"/>
        </w:rPr>
        <w:t>Invariant form preservation</w:t>
      </w:r>
    </w:p>
    <w:p>
      <w:pPr>
        <w:pStyle w:val="ListBullet"/>
        <w:spacing w:after="80" w:line="288" w:lineRule="auto"/>
      </w:pPr>
      <w:r>
        <w:rPr>
          <w:rFonts w:ascii="Calibri" w:hAnsi="Calibri"/>
          <w:b w:val="0"/>
          <w:i w:val="0"/>
          <w:sz w:val="22"/>
        </w:rPr>
        <w:t>Determinant identity</w:t>
      </w:r>
    </w:p>
    <w:p>
      <w:pPr>
        <w:pStyle w:val="ListBullet"/>
        <w:spacing w:after="80" w:line="288" w:lineRule="auto"/>
      </w:pPr>
      <w:r>
        <w:rPr>
          <w:rFonts w:ascii="Calibri" w:hAnsi="Calibri"/>
          <w:b w:val="0"/>
          <w:i w:val="0"/>
          <w:sz w:val="22"/>
        </w:rPr>
        <w:t>Two dimensional closure</w:t>
      </w:r>
    </w:p>
    <w:p>
      <w:pPr>
        <w:pStyle w:val="ListBullet"/>
        <w:spacing w:after="80" w:line="288" w:lineRule="auto"/>
      </w:pPr>
      <w:r>
        <w:rPr>
          <w:rFonts w:ascii="Calibri" w:hAnsi="Calibri"/>
          <w:b w:val="0"/>
          <w:i w:val="0"/>
          <w:sz w:val="22"/>
        </w:rPr>
        <w:t>Oscillatory optical class</w:t>
      </w:r>
    </w:p>
    <w:p>
      <w:pPr>
        <w:pStyle w:val="ListBullet"/>
        <w:spacing w:after="80" w:line="288" w:lineRule="auto"/>
      </w:pPr>
      <w:r>
        <w:rPr>
          <w:rFonts w:ascii="Calibri" w:hAnsi="Calibri"/>
          <w:b w:val="0"/>
          <w:i w:val="0"/>
          <w:sz w:val="22"/>
        </w:rPr>
        <w:t>Hyperbolic relativistic class</w:t>
      </w:r>
    </w:p>
    <w:p>
      <w:pPr>
        <w:pStyle w:val="ListBullet"/>
        <w:spacing w:after="80" w:line="288" w:lineRule="auto"/>
      </w:pPr>
      <w:r>
        <w:rPr>
          <w:rFonts w:ascii="Calibri" w:hAnsi="Calibri"/>
          <w:b w:val="0"/>
          <w:i w:val="0"/>
          <w:sz w:val="22"/>
        </w:rPr>
        <w:t>Weak order exponent and commuting null</w:t>
      </w:r>
    </w:p>
    <w:p>
      <w:pPr>
        <w:pStyle w:val="ListBullet"/>
        <w:spacing w:after="80" w:line="288" w:lineRule="auto"/>
      </w:pPr>
      <w:r>
        <w:rPr>
          <w:rFonts w:ascii="Calibri" w:hAnsi="Calibri"/>
          <w:b w:val="0"/>
          <w:i w:val="0"/>
          <w:sz w:val="22"/>
        </w:rPr>
        <w:t>RHMC recurrence and closed sum</w:t>
      </w:r>
    </w:p>
    <w:p>
      <w:pPr>
        <w:pStyle w:val="ListBullet"/>
        <w:spacing w:after="80" w:line="288" w:lineRule="auto"/>
      </w:pPr>
      <w:r>
        <w:rPr>
          <w:rFonts w:ascii="Calibri" w:hAnsi="Calibri"/>
          <w:b w:val="0"/>
          <w:i w:val="0"/>
          <w:sz w:val="22"/>
        </w:rPr>
        <w:t>Möbius cross ratio preservation</w:t>
      </w:r>
    </w:p>
    <w:p>
      <w:pPr>
        <w:spacing w:after="120"/>
      </w:pPr>
      <w:r>
        <w:rPr>
          <w:rFonts w:ascii="Calibri" w:hAnsi="Calibri"/>
          <w:b/>
          <w:i w:val="0"/>
          <w:color w:val="1F4D78"/>
          <w:sz w:val="18"/>
        </w:rPr>
        <w:t xml:space="preserve">NUMERICAL LIMIT  </w:t>
      </w:r>
      <w:r>
        <w:rPr>
          <w:rFonts w:ascii="Calibri" w:hAnsi="Calibri"/>
          <w:b w:val="0"/>
          <w:i w:val="0"/>
          <w:sz w:val="20"/>
        </w:rPr>
        <w:t>A numerical pass verifies the implementation of a mathematical identity  It does not validate a physical encoder</w:t>
      </w:r>
    </w:p>
    <w:p>
      <w:pPr>
        <w:pStyle w:val="Heading1"/>
      </w:pPr>
      <w:r>
        <w:t>15  Remove Freeze Fit Protocol</w:t>
      </w:r>
    </w:p>
    <w:p>
      <w:pPr>
        <w:spacing w:after="120" w:line="300" w:lineRule="auto"/>
      </w:pPr>
      <w:r>
        <w:rPr>
          <w:rFonts w:ascii="Calibri" w:hAnsi="Calibri"/>
          <w:b w:val="0"/>
          <w:i w:val="0"/>
          <w:sz w:val="22"/>
        </w:rPr>
        <w:t>The corrected research workflow prevents known physics or target constants from being silently inserted and later rediscovered</w:t>
      </w:r>
    </w:p>
    <w:tbl>
      <w:tblPr>
        <w:tblW w:type="dxa" w:w="9360"/>
        <w:jc w:val="center"/>
        <w:tblLayout w:type="fixed"/>
        <w:tblLook w:firstColumn="1" w:firstRow="1" w:lastColumn="0" w:lastRow="0" w:noHBand="0" w:noVBand="1" w:val="04A0"/>
        <w:tblInd w:w="120" w:type="dxa"/>
      </w:tblPr>
      <w:tblGrid>
        <w:gridCol w:w="1000"/>
        <w:gridCol w:w="4180"/>
        <w:gridCol w:w="4180"/>
      </w:tblGrid>
      <w:tr>
        <w:tc>
          <w:tcPr>
            <w:tcW w:type="dxa" w:w="1000"/>
            <w:shd w:fill="E8EEF5"/>
            <w:tcMar>
              <w:top w:w="80" w:type="dxa"/>
              <w:start w:w="120" w:type="dxa"/>
              <w:bottom w:w="80" w:type="dxa"/>
              <w:end w:w="120" w:type="dxa"/>
            </w:tcMar>
            <w:vAlign w:val="center"/>
          </w:tcPr>
          <w:p>
            <w:pPr>
              <w:spacing w:after="0"/>
            </w:pPr>
            <w:r>
              <w:rPr>
                <w:rFonts w:ascii="Calibri" w:hAnsi="Calibri"/>
                <w:b/>
                <w:i w:val="0"/>
                <w:color w:val="1F4D78"/>
                <w:sz w:val="18"/>
              </w:rPr>
              <w:t>Stage</w:t>
            </w:r>
          </w:p>
        </w:tc>
        <w:tc>
          <w:tcPr>
            <w:tcW w:type="dxa" w:w="4180"/>
            <w:shd w:fill="E8EEF5"/>
            <w:tcMar>
              <w:top w:w="80" w:type="dxa"/>
              <w:start w:w="120" w:type="dxa"/>
              <w:bottom w:w="80" w:type="dxa"/>
              <w:end w:w="120" w:type="dxa"/>
            </w:tcMar>
            <w:vAlign w:val="center"/>
          </w:tcPr>
          <w:p>
            <w:pPr>
              <w:spacing w:after="0"/>
            </w:pPr>
            <w:r>
              <w:rPr>
                <w:rFonts w:ascii="Calibri" w:hAnsi="Calibri"/>
                <w:b/>
                <w:i w:val="0"/>
                <w:color w:val="1F4D78"/>
                <w:sz w:val="18"/>
              </w:rPr>
              <w:t>Action</w:t>
            </w:r>
          </w:p>
        </w:tc>
        <w:tc>
          <w:tcPr>
            <w:tcW w:type="dxa" w:w="4180"/>
            <w:shd w:fill="E8EEF5"/>
            <w:tcMar>
              <w:top w:w="80" w:type="dxa"/>
              <w:start w:w="120" w:type="dxa"/>
              <w:bottom w:w="80" w:type="dxa"/>
              <w:end w:w="120" w:type="dxa"/>
            </w:tcMar>
            <w:vAlign w:val="center"/>
          </w:tcPr>
          <w:p>
            <w:pPr>
              <w:spacing w:after="0"/>
            </w:pPr>
            <w:r>
              <w:rPr>
                <w:rFonts w:ascii="Calibri" w:hAnsi="Calibri"/>
                <w:b/>
                <w:i w:val="0"/>
                <w:color w:val="1F4D78"/>
                <w:sz w:val="18"/>
              </w:rPr>
              <w:t>Pass condition</w:t>
            </w:r>
          </w:p>
        </w:tc>
      </w:tr>
      <w:tr>
        <w:tc>
          <w:tcPr>
            <w:tcW w:type="dxa" w:w="1000"/>
            <w:tcMar>
              <w:top w:w="80" w:type="dxa"/>
              <w:start w:w="120" w:type="dxa"/>
              <w:bottom w:w="80" w:type="dxa"/>
              <w:end w:w="120" w:type="dxa"/>
            </w:tcMar>
            <w:vAlign w:val="center"/>
          </w:tcPr>
          <w:p>
            <w:pPr>
              <w:spacing w:after="0"/>
            </w:pPr>
            <w:r>
              <w:rPr>
                <w:rFonts w:ascii="Calibri" w:hAnsi="Calibri"/>
                <w:b w:val="0"/>
                <w:i w:val="0"/>
                <w:sz w:val="18"/>
              </w:rPr>
              <w:t>A0</w:t>
            </w:r>
          </w:p>
        </w:tc>
        <w:tc>
          <w:tcPr>
            <w:tcW w:type="dxa" w:w="4180"/>
            <w:tcMar>
              <w:top w:w="80" w:type="dxa"/>
              <w:start w:w="120" w:type="dxa"/>
              <w:bottom w:w="80" w:type="dxa"/>
              <w:end w:w="120" w:type="dxa"/>
            </w:tcMar>
            <w:vAlign w:val="center"/>
          </w:tcPr>
          <w:p>
            <w:pPr>
              <w:spacing w:after="0"/>
            </w:pPr>
            <w:r>
              <w:rPr>
                <w:rFonts w:ascii="Calibri" w:hAnsi="Calibri"/>
                <w:b w:val="0"/>
                <w:i w:val="0"/>
                <w:sz w:val="18"/>
              </w:rPr>
              <w:t>Define encoder decoder and holdout</w:t>
            </w:r>
          </w:p>
        </w:tc>
        <w:tc>
          <w:tcPr>
            <w:tcW w:type="dxa" w:w="4180"/>
            <w:tcMar>
              <w:top w:w="80" w:type="dxa"/>
              <w:start w:w="120" w:type="dxa"/>
              <w:bottom w:w="80" w:type="dxa"/>
              <w:end w:w="120" w:type="dxa"/>
            </w:tcMar>
            <w:vAlign w:val="center"/>
          </w:tcPr>
          <w:p>
            <w:pPr>
              <w:spacing w:after="0"/>
            </w:pPr>
            <w:r>
              <w:rPr>
                <w:rFonts w:ascii="Calibri" w:hAnsi="Calibri"/>
                <w:b w:val="0"/>
                <w:i w:val="0"/>
                <w:sz w:val="18"/>
              </w:rPr>
              <w:t>No target answer used</w:t>
            </w:r>
          </w:p>
        </w:tc>
      </w:tr>
      <w:tr>
        <w:tc>
          <w:tcPr>
            <w:tcW w:type="dxa" w:w="1000"/>
            <w:tcMar>
              <w:top w:w="80" w:type="dxa"/>
              <w:start w:w="120" w:type="dxa"/>
              <w:bottom w:w="80" w:type="dxa"/>
              <w:end w:w="120" w:type="dxa"/>
            </w:tcMar>
            <w:vAlign w:val="center"/>
          </w:tcPr>
          <w:p>
            <w:pPr>
              <w:spacing w:after="0"/>
            </w:pPr>
            <w:r>
              <w:rPr>
                <w:rFonts w:ascii="Calibri" w:hAnsi="Calibri"/>
                <w:b w:val="0"/>
                <w:i w:val="0"/>
                <w:sz w:val="18"/>
              </w:rPr>
              <w:t>A1</w:t>
            </w:r>
          </w:p>
        </w:tc>
        <w:tc>
          <w:tcPr>
            <w:tcW w:type="dxa" w:w="4180"/>
            <w:tcMar>
              <w:top w:w="80" w:type="dxa"/>
              <w:start w:w="120" w:type="dxa"/>
              <w:bottom w:w="80" w:type="dxa"/>
              <w:end w:w="120" w:type="dxa"/>
            </w:tcMar>
            <w:vAlign w:val="center"/>
          </w:tcPr>
          <w:p>
            <w:pPr>
              <w:spacing w:after="0"/>
            </w:pPr>
            <w:r>
              <w:rPr>
                <w:rFonts w:ascii="Calibri" w:hAnsi="Calibri"/>
                <w:b w:val="0"/>
                <w:i w:val="0"/>
                <w:sz w:val="18"/>
              </w:rPr>
              <w:t>Reconstruct with all reference physics</w:t>
            </w:r>
          </w:p>
        </w:tc>
        <w:tc>
          <w:tcPr>
            <w:tcW w:type="dxa" w:w="4180"/>
            <w:tcMar>
              <w:top w:w="80" w:type="dxa"/>
              <w:start w:w="120" w:type="dxa"/>
              <w:bottom w:w="80" w:type="dxa"/>
              <w:end w:w="120" w:type="dxa"/>
            </w:tcMar>
            <w:vAlign w:val="center"/>
          </w:tcPr>
          <w:p>
            <w:pPr>
              <w:spacing w:after="0"/>
            </w:pPr>
            <w:r>
              <w:rPr>
                <w:rFonts w:ascii="Calibri" w:hAnsi="Calibri"/>
                <w:b w:val="0"/>
                <w:i w:val="0"/>
                <w:sz w:val="18"/>
              </w:rPr>
              <w:t>Error comparable to reference solver</w:t>
            </w:r>
          </w:p>
        </w:tc>
      </w:tr>
      <w:tr>
        <w:tc>
          <w:tcPr>
            <w:tcW w:type="dxa" w:w="1000"/>
            <w:tcMar>
              <w:top w:w="80" w:type="dxa"/>
              <w:start w:w="120" w:type="dxa"/>
              <w:bottom w:w="80" w:type="dxa"/>
              <w:end w:w="120" w:type="dxa"/>
            </w:tcMar>
            <w:vAlign w:val="center"/>
          </w:tcPr>
          <w:p>
            <w:pPr>
              <w:spacing w:after="0"/>
            </w:pPr>
            <w:r>
              <w:rPr>
                <w:rFonts w:ascii="Calibri" w:hAnsi="Calibri"/>
                <w:b w:val="0"/>
                <w:i w:val="0"/>
                <w:sz w:val="18"/>
              </w:rPr>
              <w:t>F</w:t>
            </w:r>
          </w:p>
        </w:tc>
        <w:tc>
          <w:tcPr>
            <w:tcW w:type="dxa" w:w="4180"/>
            <w:tcMar>
              <w:top w:w="80" w:type="dxa"/>
              <w:start w:w="120" w:type="dxa"/>
              <w:bottom w:w="80" w:type="dxa"/>
              <w:end w:w="120" w:type="dxa"/>
            </w:tcMar>
            <w:vAlign w:val="center"/>
          </w:tcPr>
          <w:p>
            <w:pPr>
              <w:spacing w:after="0"/>
            </w:pPr>
            <w:r>
              <w:rPr>
                <w:rFonts w:ascii="Calibri" w:hAnsi="Calibri"/>
                <w:b w:val="0"/>
                <w:i w:val="0"/>
                <w:sz w:val="18"/>
              </w:rPr>
              <w:t>Freeze algebra parameters scale preprocessing and seed</w:t>
            </w:r>
          </w:p>
        </w:tc>
        <w:tc>
          <w:tcPr>
            <w:tcW w:type="dxa" w:w="4180"/>
            <w:tcMar>
              <w:top w:w="80" w:type="dxa"/>
              <w:start w:w="120" w:type="dxa"/>
              <w:bottom w:w="80" w:type="dxa"/>
              <w:end w:w="120" w:type="dxa"/>
            </w:tcMar>
            <w:vAlign w:val="center"/>
          </w:tcPr>
          <w:p>
            <w:pPr>
              <w:spacing w:after="0"/>
            </w:pPr>
            <w:r>
              <w:rPr>
                <w:rFonts w:ascii="Calibri" w:hAnsi="Calibri"/>
                <w:b w:val="0"/>
                <w:i w:val="0"/>
                <w:sz w:val="18"/>
              </w:rPr>
              <w:t>Version and hash fixed</w:t>
            </w:r>
          </w:p>
        </w:tc>
      </w:tr>
      <w:tr>
        <w:tc>
          <w:tcPr>
            <w:tcW w:type="dxa" w:w="1000"/>
            <w:tcMar>
              <w:top w:w="80" w:type="dxa"/>
              <w:start w:w="120" w:type="dxa"/>
              <w:bottom w:w="80" w:type="dxa"/>
              <w:end w:w="120" w:type="dxa"/>
            </w:tcMar>
            <w:vAlign w:val="center"/>
          </w:tcPr>
          <w:p>
            <w:pPr>
              <w:spacing w:after="0"/>
            </w:pPr>
            <w:r>
              <w:rPr>
                <w:rFonts w:ascii="Calibri" w:hAnsi="Calibri"/>
                <w:b w:val="0"/>
                <w:i w:val="0"/>
                <w:sz w:val="18"/>
              </w:rPr>
              <w:t>W</w:t>
            </w:r>
          </w:p>
        </w:tc>
        <w:tc>
          <w:tcPr>
            <w:tcW w:type="dxa" w:w="4180"/>
            <w:tcMar>
              <w:top w:w="80" w:type="dxa"/>
              <w:start w:w="120" w:type="dxa"/>
              <w:bottom w:w="80" w:type="dxa"/>
              <w:end w:w="120" w:type="dxa"/>
            </w:tcMar>
            <w:vAlign w:val="center"/>
          </w:tcPr>
          <w:p>
            <w:pPr>
              <w:spacing w:after="0"/>
            </w:pPr>
            <w:r>
              <w:rPr>
                <w:rFonts w:ascii="Calibri" w:hAnsi="Calibri"/>
                <w:b w:val="0"/>
                <w:i w:val="0"/>
                <w:sz w:val="18"/>
              </w:rPr>
              <w:t>Remove data boundary condition parameter then equation</w:t>
            </w:r>
          </w:p>
        </w:tc>
        <w:tc>
          <w:tcPr>
            <w:tcW w:type="dxa" w:w="4180"/>
            <w:tcMar>
              <w:top w:w="80" w:type="dxa"/>
              <w:start w:w="120" w:type="dxa"/>
              <w:bottom w:w="80" w:type="dxa"/>
              <w:end w:w="120" w:type="dxa"/>
            </w:tcMar>
            <w:vAlign w:val="center"/>
          </w:tcPr>
          <w:p>
            <w:pPr>
              <w:spacing w:after="0"/>
            </w:pPr>
            <w:r>
              <w:rPr>
                <w:rFonts w:ascii="Calibri" w:hAnsi="Calibri"/>
                <w:b w:val="0"/>
                <w:i w:val="0"/>
                <w:sz w:val="18"/>
              </w:rPr>
              <w:t>Beat same degree baselines</w:t>
            </w:r>
          </w:p>
        </w:tc>
      </w:tr>
      <w:tr>
        <w:tc>
          <w:tcPr>
            <w:tcW w:type="dxa" w:w="1000"/>
            <w:tcMar>
              <w:top w:w="80" w:type="dxa"/>
              <w:start w:w="120" w:type="dxa"/>
              <w:bottom w:w="80" w:type="dxa"/>
              <w:end w:w="120" w:type="dxa"/>
            </w:tcMar>
            <w:vAlign w:val="center"/>
          </w:tcPr>
          <w:p>
            <w:pPr>
              <w:spacing w:after="0"/>
            </w:pPr>
            <w:r>
              <w:rPr>
                <w:rFonts w:ascii="Calibri" w:hAnsi="Calibri"/>
                <w:b w:val="0"/>
                <w:i w:val="0"/>
                <w:sz w:val="18"/>
              </w:rPr>
              <w:t>I</w:t>
            </w:r>
          </w:p>
        </w:tc>
        <w:tc>
          <w:tcPr>
            <w:tcW w:type="dxa" w:w="4180"/>
            <w:tcMar>
              <w:top w:w="80" w:type="dxa"/>
              <w:start w:w="120" w:type="dxa"/>
              <w:bottom w:w="80" w:type="dxa"/>
              <w:end w:w="120" w:type="dxa"/>
            </w:tcMar>
            <w:vAlign w:val="center"/>
          </w:tcPr>
          <w:p>
            <w:pPr>
              <w:spacing w:after="0"/>
            </w:pPr>
            <w:r>
              <w:rPr>
                <w:rFonts w:ascii="Calibri" w:hAnsi="Calibri"/>
                <w:b w:val="0"/>
                <w:i w:val="0"/>
                <w:sz w:val="18"/>
              </w:rPr>
              <w:t>Generate prediction from frozen NSC only</w:t>
            </w:r>
          </w:p>
        </w:tc>
        <w:tc>
          <w:tcPr>
            <w:tcW w:type="dxa" w:w="4180"/>
            <w:tcMar>
              <w:top w:w="80" w:type="dxa"/>
              <w:start w:w="120" w:type="dxa"/>
              <w:bottom w:w="80" w:type="dxa"/>
              <w:end w:w="120" w:type="dxa"/>
            </w:tcMar>
            <w:vAlign w:val="center"/>
          </w:tcPr>
          <w:p>
            <w:pPr>
              <w:spacing w:after="0"/>
            </w:pPr>
            <w:r>
              <w:rPr>
                <w:rFonts w:ascii="Calibri" w:hAnsi="Calibri"/>
                <w:b w:val="0"/>
                <w:i w:val="0"/>
                <w:sz w:val="18"/>
              </w:rPr>
              <w:t>Hidden target comparison</w:t>
            </w:r>
          </w:p>
        </w:tc>
      </w:tr>
      <w:tr>
        <w:tc>
          <w:tcPr>
            <w:tcW w:type="dxa" w:w="1000"/>
            <w:tcMar>
              <w:top w:w="80" w:type="dxa"/>
              <w:start w:w="120" w:type="dxa"/>
              <w:bottom w:w="80" w:type="dxa"/>
              <w:end w:w="120" w:type="dxa"/>
            </w:tcMar>
            <w:vAlign w:val="center"/>
          </w:tcPr>
          <w:p>
            <w:pPr>
              <w:spacing w:after="0"/>
            </w:pPr>
            <w:r>
              <w:rPr>
                <w:rFonts w:ascii="Calibri" w:hAnsi="Calibri"/>
                <w:b w:val="0"/>
                <w:i w:val="0"/>
                <w:sz w:val="18"/>
              </w:rPr>
              <w:t>R</w:t>
            </w:r>
          </w:p>
        </w:tc>
        <w:tc>
          <w:tcPr>
            <w:tcW w:type="dxa" w:w="4180"/>
            <w:tcMar>
              <w:top w:w="80" w:type="dxa"/>
              <w:start w:w="120" w:type="dxa"/>
              <w:bottom w:w="80" w:type="dxa"/>
              <w:end w:w="120" w:type="dxa"/>
            </w:tcMar>
            <w:vAlign w:val="center"/>
          </w:tcPr>
          <w:p>
            <w:pPr>
              <w:spacing w:after="0"/>
            </w:pPr>
            <w:r>
              <w:rPr>
                <w:rFonts w:ascii="Calibri" w:hAnsi="Calibri"/>
                <w:b w:val="0"/>
                <w:i w:val="0"/>
                <w:sz w:val="18"/>
              </w:rPr>
              <w:t>Accept reject or restrict claim</w:t>
            </w:r>
          </w:p>
        </w:tc>
        <w:tc>
          <w:tcPr>
            <w:tcW w:type="dxa" w:w="4180"/>
            <w:tcMar>
              <w:top w:w="80" w:type="dxa"/>
              <w:start w:w="120" w:type="dxa"/>
              <w:bottom w:w="80" w:type="dxa"/>
              <w:end w:w="120" w:type="dxa"/>
            </w:tcMar>
            <w:vAlign w:val="center"/>
          </w:tcPr>
          <w:p>
            <w:pPr>
              <w:spacing w:after="0"/>
            </w:pPr>
            <w:r>
              <w:rPr>
                <w:rFonts w:ascii="Calibri" w:hAnsi="Calibri"/>
                <w:b w:val="0"/>
                <w:i w:val="0"/>
                <w:sz w:val="18"/>
              </w:rPr>
              <w:t>No tuning after result</w:t>
            </w:r>
          </w:p>
        </w:tc>
      </w:tr>
    </w:tbl>
    <w:p>
      <w:pPr>
        <w:spacing w:after="0"/>
      </w:pPr>
    </w:p>
    <w:p>
      <w:pPr>
        <w:pStyle w:val="Heading2"/>
      </w:pPr>
      <w:r>
        <w:t>15 1  Invalidity conditions</w:t>
      </w:r>
    </w:p>
    <w:p>
      <w:pPr>
        <w:pStyle w:val="ListBullet"/>
        <w:spacing w:after="80" w:line="288" w:lineRule="auto"/>
      </w:pPr>
      <w:r>
        <w:rPr>
          <w:rFonts w:ascii="Calibri" w:hAnsi="Calibri"/>
          <w:b w:val="0"/>
          <w:i w:val="0"/>
          <w:sz w:val="22"/>
        </w:rPr>
        <w:t>A target constant or equivalent ratio enters the encoder normalization domain or sample selection</w:t>
      </w:r>
    </w:p>
    <w:p>
      <w:pPr>
        <w:pStyle w:val="ListBullet"/>
        <w:spacing w:after="80" w:line="288" w:lineRule="auto"/>
      </w:pPr>
      <w:r>
        <w:rPr>
          <w:rFonts w:ascii="Calibri" w:hAnsi="Calibri"/>
          <w:b w:val="0"/>
          <w:i w:val="0"/>
          <w:sz w:val="22"/>
        </w:rPr>
        <w:t>An exact solution is included among optimization starts</w:t>
      </w:r>
    </w:p>
    <w:p>
      <w:pPr>
        <w:pStyle w:val="ListBullet"/>
        <w:spacing w:after="80" w:line="288" w:lineRule="auto"/>
      </w:pPr>
      <w:r>
        <w:rPr>
          <w:rFonts w:ascii="Calibri" w:hAnsi="Calibri"/>
          <w:b w:val="0"/>
          <w:i w:val="0"/>
          <w:sz w:val="22"/>
        </w:rPr>
        <w:t>The baseline is weaker by construction or lacks basic scaling</w:t>
      </w:r>
    </w:p>
    <w:p>
      <w:pPr>
        <w:pStyle w:val="ListBullet"/>
        <w:spacing w:after="80" w:line="288" w:lineRule="auto"/>
      </w:pPr>
      <w:r>
        <w:rPr>
          <w:rFonts w:ascii="Calibri" w:hAnsi="Calibri"/>
          <w:b w:val="0"/>
          <w:i w:val="0"/>
          <w:sz w:val="22"/>
        </w:rPr>
        <w:t>A physical claim has no units scale encoder or decoder</w:t>
      </w:r>
    </w:p>
    <w:p>
      <w:pPr>
        <w:pStyle w:val="ListBullet"/>
        <w:spacing w:after="80" w:line="288" w:lineRule="auto"/>
      </w:pPr>
      <w:r>
        <w:rPr>
          <w:rFonts w:ascii="Calibri" w:hAnsi="Calibri"/>
          <w:b w:val="0"/>
          <w:i w:val="0"/>
          <w:sz w:val="22"/>
        </w:rPr>
        <w:t>A result appears only for one seed one selected n or one definition of a statistic</w:t>
      </w:r>
    </w:p>
    <w:p>
      <w:pPr>
        <w:pStyle w:val="ListBullet"/>
        <w:spacing w:after="80" w:line="288" w:lineRule="auto"/>
      </w:pPr>
      <w:r>
        <w:rPr>
          <w:rFonts w:ascii="Calibri" w:hAnsi="Calibri"/>
          <w:b w:val="0"/>
          <w:i w:val="0"/>
          <w:sz w:val="22"/>
        </w:rPr>
        <w:t>A known theorem from BCH Möbius geometry transfer matrices or relativity is relabeled as new NSC physics</w:t>
      </w:r>
    </w:p>
    <w:p>
      <w:pPr>
        <w:pStyle w:val="Heading1"/>
      </w:pPr>
      <w:r>
        <w:t>16  Locked Findings and Corrections</w:t>
      </w:r>
    </w:p>
    <w:tbl>
      <w:tblPr>
        <w:tblW w:type="dxa" w:w="9360"/>
        <w:jc w:val="center"/>
        <w:tblLayout w:type="fixed"/>
        <w:tblLook w:firstColumn="1" w:firstRow="1" w:lastColumn="0" w:lastRow="0" w:noHBand="0" w:noVBand="1" w:val="04A0"/>
        <w:tblInd w:w="120" w:type="dxa"/>
      </w:tblPr>
      <w:tblGrid>
        <w:gridCol w:w="5700"/>
        <w:gridCol w:w="3660"/>
      </w:tblGrid>
      <w:tr>
        <w:tc>
          <w:tcPr>
            <w:tcW w:type="dxa" w:w="5700"/>
            <w:shd w:fill="E8EEF5"/>
            <w:tcMar>
              <w:top w:w="80" w:type="dxa"/>
              <w:start w:w="120" w:type="dxa"/>
              <w:bottom w:w="80" w:type="dxa"/>
              <w:end w:w="120" w:type="dxa"/>
            </w:tcMar>
            <w:vAlign w:val="center"/>
          </w:tcPr>
          <w:p>
            <w:pPr>
              <w:spacing w:after="0"/>
            </w:pPr>
            <w:r>
              <w:rPr>
                <w:rFonts w:ascii="Calibri" w:hAnsi="Calibri"/>
                <w:b/>
                <w:i w:val="0"/>
                <w:color w:val="1F4D78"/>
                <w:sz w:val="18"/>
              </w:rPr>
              <w:t>Statement</w:t>
            </w:r>
          </w:p>
        </w:tc>
        <w:tc>
          <w:tcPr>
            <w:tcW w:type="dxa" w:w="3660"/>
            <w:shd w:fill="E8EEF5"/>
            <w:tcMar>
              <w:top w:w="80" w:type="dxa"/>
              <w:start w:w="120" w:type="dxa"/>
              <w:bottom w:w="80" w:type="dxa"/>
              <w:end w:w="120" w:type="dxa"/>
            </w:tcMar>
            <w:vAlign w:val="center"/>
          </w:tcPr>
          <w:p>
            <w:pPr>
              <w:spacing w:after="0"/>
            </w:pPr>
            <w:r>
              <w:rPr>
                <w:rFonts w:ascii="Calibri" w:hAnsi="Calibri"/>
                <w:b/>
                <w:i w:val="0"/>
                <w:color w:val="1F4D78"/>
                <w:sz w:val="18"/>
              </w:rPr>
              <w:t>Final status</w:t>
            </w:r>
          </w:p>
        </w:tc>
      </w:tr>
      <w:tr>
        <w:tc>
          <w:tcPr>
            <w:tcW w:type="dxa" w:w="5700"/>
            <w:tcMar>
              <w:top w:w="80" w:type="dxa"/>
              <w:start w:w="120" w:type="dxa"/>
              <w:bottom w:w="80" w:type="dxa"/>
              <w:end w:w="120" w:type="dxa"/>
            </w:tcMar>
            <w:vAlign w:val="center"/>
          </w:tcPr>
          <w:p>
            <w:pPr>
              <w:spacing w:after="0"/>
            </w:pPr>
            <w:r>
              <w:rPr>
                <w:rFonts w:ascii="Calibri" w:hAnsi="Calibri"/>
                <w:b w:val="0"/>
                <w:i w:val="0"/>
                <w:sz w:val="18"/>
              </w:rPr>
              <w:t>Delta is a relational transformation</w:t>
            </w:r>
          </w:p>
        </w:tc>
        <w:tc>
          <w:tcPr>
            <w:tcW w:type="dxa" w:w="3660"/>
            <w:tcMar>
              <w:top w:w="80" w:type="dxa"/>
              <w:start w:w="120" w:type="dxa"/>
              <w:bottom w:w="80" w:type="dxa"/>
              <w:end w:w="120" w:type="dxa"/>
            </w:tcMar>
            <w:vAlign w:val="center"/>
          </w:tcPr>
          <w:p>
            <w:pPr>
              <w:spacing w:after="0"/>
            </w:pPr>
            <w:r>
              <w:rPr>
                <w:rFonts w:ascii="Calibri" w:hAnsi="Calibri"/>
                <w:b w:val="0"/>
                <w:i w:val="0"/>
                <w:sz w:val="18"/>
              </w:rPr>
              <w:t>Retained as model primitive</w:t>
            </w:r>
          </w:p>
        </w:tc>
      </w:tr>
      <w:tr>
        <w:tc>
          <w:tcPr>
            <w:tcW w:type="dxa" w:w="5700"/>
            <w:tcMar>
              <w:top w:w="80" w:type="dxa"/>
              <w:start w:w="120" w:type="dxa"/>
              <w:bottom w:w="80" w:type="dxa"/>
              <w:end w:w="120" w:type="dxa"/>
            </w:tcMar>
            <w:vAlign w:val="center"/>
          </w:tcPr>
          <w:p>
            <w:pPr>
              <w:spacing w:after="0"/>
            </w:pPr>
            <w:r>
              <w:rPr>
                <w:rFonts w:ascii="Calibri" w:hAnsi="Calibri"/>
                <w:b w:val="0"/>
                <w:i w:val="0"/>
                <w:sz w:val="18"/>
              </w:rPr>
              <w:t>Two dimensional generator classification</w:t>
            </w:r>
          </w:p>
        </w:tc>
        <w:tc>
          <w:tcPr>
            <w:tcW w:type="dxa" w:w="3660"/>
            <w:tcMar>
              <w:top w:w="80" w:type="dxa"/>
              <w:start w:w="120" w:type="dxa"/>
              <w:bottom w:w="80" w:type="dxa"/>
              <w:end w:w="120" w:type="dxa"/>
            </w:tcMar>
            <w:vAlign w:val="center"/>
          </w:tcPr>
          <w:p>
            <w:pPr>
              <w:spacing w:after="0"/>
            </w:pPr>
            <w:r>
              <w:rPr>
                <w:rFonts w:ascii="Calibri" w:hAnsi="Calibri"/>
                <w:b w:val="0"/>
                <w:i w:val="0"/>
                <w:sz w:val="18"/>
              </w:rPr>
              <w:t>MATH PROVED</w:t>
            </w:r>
          </w:p>
        </w:tc>
      </w:tr>
      <w:tr>
        <w:tc>
          <w:tcPr>
            <w:tcW w:type="dxa" w:w="5700"/>
            <w:tcMar>
              <w:top w:w="80" w:type="dxa"/>
              <w:start w:w="120" w:type="dxa"/>
              <w:bottom w:w="80" w:type="dxa"/>
              <w:end w:w="120" w:type="dxa"/>
            </w:tcMar>
            <w:vAlign w:val="center"/>
          </w:tcPr>
          <w:p>
            <w:pPr>
              <w:spacing w:after="0"/>
            </w:pPr>
            <w:r>
              <w:rPr>
                <w:rFonts w:ascii="Calibri" w:hAnsi="Calibri"/>
                <w:b w:val="0"/>
                <w:i w:val="0"/>
                <w:sz w:val="18"/>
              </w:rPr>
              <w:t>Weak squared order law scales as epsilon fourth power</w:t>
            </w:r>
          </w:p>
        </w:tc>
        <w:tc>
          <w:tcPr>
            <w:tcW w:type="dxa" w:w="3660"/>
            <w:tcMar>
              <w:top w:w="80" w:type="dxa"/>
              <w:start w:w="120" w:type="dxa"/>
              <w:bottom w:w="80" w:type="dxa"/>
              <w:end w:w="120" w:type="dxa"/>
            </w:tcMar>
            <w:vAlign w:val="center"/>
          </w:tcPr>
          <w:p>
            <w:pPr>
              <w:spacing w:after="0"/>
            </w:pPr>
            <w:r>
              <w:rPr>
                <w:rFonts w:ascii="Calibri" w:hAnsi="Calibri"/>
                <w:b w:val="0"/>
                <w:i w:val="0"/>
                <w:sz w:val="18"/>
              </w:rPr>
              <w:t>MATH PROVED in the weak limit</w:t>
            </w:r>
          </w:p>
        </w:tc>
      </w:tr>
      <w:tr>
        <w:tc>
          <w:tcPr>
            <w:tcW w:type="dxa" w:w="5700"/>
            <w:tcMar>
              <w:top w:w="80" w:type="dxa"/>
              <w:start w:w="120" w:type="dxa"/>
              <w:bottom w:w="80" w:type="dxa"/>
              <w:end w:w="120" w:type="dxa"/>
            </w:tcMar>
            <w:vAlign w:val="center"/>
          </w:tcPr>
          <w:p>
            <w:pPr>
              <w:spacing w:after="0"/>
            </w:pPr>
            <w:r>
              <w:rPr>
                <w:rFonts w:ascii="Calibri" w:hAnsi="Calibri"/>
                <w:b w:val="0"/>
                <w:i w:val="0"/>
                <w:sz w:val="18"/>
              </w:rPr>
              <w:t>Layered optics is reproduced exactly</w:t>
            </w:r>
          </w:p>
        </w:tc>
        <w:tc>
          <w:tcPr>
            <w:tcW w:type="dxa" w:w="3660"/>
            <w:tcMar>
              <w:top w:w="80" w:type="dxa"/>
              <w:start w:w="120" w:type="dxa"/>
              <w:bottom w:w="80" w:type="dxa"/>
              <w:end w:w="120" w:type="dxa"/>
            </w:tcMar>
            <w:vAlign w:val="center"/>
          </w:tcPr>
          <w:p>
            <w:pPr>
              <w:spacing w:after="0"/>
            </w:pPr>
            <w:r>
              <w:rPr>
                <w:rFonts w:ascii="Calibri" w:hAnsi="Calibri"/>
                <w:b w:val="0"/>
                <w:i w:val="0"/>
                <w:sz w:val="18"/>
              </w:rPr>
              <w:t>REPRESENTATIONAL EQUIVALENCE</w:t>
            </w:r>
          </w:p>
        </w:tc>
      </w:tr>
      <w:tr>
        <w:tc>
          <w:tcPr>
            <w:tcW w:type="dxa" w:w="5700"/>
            <w:tcMar>
              <w:top w:w="80" w:type="dxa"/>
              <w:start w:w="120" w:type="dxa"/>
              <w:bottom w:w="80" w:type="dxa"/>
              <w:end w:w="120" w:type="dxa"/>
            </w:tcMar>
            <w:vAlign w:val="center"/>
          </w:tcPr>
          <w:p>
            <w:pPr>
              <w:spacing w:after="0"/>
            </w:pPr>
            <w:r>
              <w:rPr>
                <w:rFonts w:ascii="Calibri" w:hAnsi="Calibri"/>
                <w:b w:val="0"/>
                <w:i w:val="0"/>
                <w:sz w:val="18"/>
              </w:rPr>
              <w:t>One dimensional Lorentz transport and metric recovery</w:t>
            </w:r>
          </w:p>
        </w:tc>
        <w:tc>
          <w:tcPr>
            <w:tcW w:type="dxa" w:w="3660"/>
            <w:tcMar>
              <w:top w:w="80" w:type="dxa"/>
              <w:start w:w="120" w:type="dxa"/>
              <w:bottom w:w="80" w:type="dxa"/>
              <w:end w:w="120" w:type="dxa"/>
            </w:tcMar>
            <w:vAlign w:val="center"/>
          </w:tcPr>
          <w:p>
            <w:pPr>
              <w:spacing w:after="0"/>
            </w:pPr>
            <w:r>
              <w:rPr>
                <w:rFonts w:ascii="Calibri" w:hAnsi="Calibri"/>
                <w:b w:val="0"/>
                <w:i w:val="0"/>
                <w:sz w:val="18"/>
              </w:rPr>
              <w:t>SYNTHETIC CROSS DOMAIN PASS</w:t>
            </w:r>
          </w:p>
        </w:tc>
      </w:tr>
      <w:tr>
        <w:tc>
          <w:tcPr>
            <w:tcW w:type="dxa" w:w="5700"/>
            <w:tcMar>
              <w:top w:w="80" w:type="dxa"/>
              <w:start w:w="120" w:type="dxa"/>
              <w:bottom w:w="80" w:type="dxa"/>
              <w:end w:w="120" w:type="dxa"/>
            </w:tcMar>
            <w:vAlign w:val="center"/>
          </w:tcPr>
          <w:p>
            <w:pPr>
              <w:spacing w:after="0"/>
            </w:pPr>
            <w:r>
              <w:rPr>
                <w:rFonts w:ascii="Calibri" w:hAnsi="Calibri"/>
                <w:b w:val="0"/>
                <w:i w:val="0"/>
                <w:sz w:val="18"/>
              </w:rPr>
              <w:t>RHMC recurrence and closed series</w:t>
            </w:r>
          </w:p>
        </w:tc>
        <w:tc>
          <w:tcPr>
            <w:tcW w:type="dxa" w:w="3660"/>
            <w:tcMar>
              <w:top w:w="80" w:type="dxa"/>
              <w:start w:w="120" w:type="dxa"/>
              <w:bottom w:w="80" w:type="dxa"/>
              <w:end w:w="120" w:type="dxa"/>
            </w:tcMar>
            <w:vAlign w:val="center"/>
          </w:tcPr>
          <w:p>
            <w:pPr>
              <w:spacing w:after="0"/>
            </w:pPr>
            <w:r>
              <w:rPr>
                <w:rFonts w:ascii="Calibri" w:hAnsi="Calibri"/>
                <w:b w:val="0"/>
                <w:i w:val="0"/>
                <w:sz w:val="18"/>
              </w:rPr>
              <w:t>MATH PROVED</w:t>
            </w:r>
          </w:p>
        </w:tc>
      </w:tr>
      <w:tr>
        <w:tc>
          <w:tcPr>
            <w:tcW w:type="dxa" w:w="5700"/>
            <w:tcMar>
              <w:top w:w="80" w:type="dxa"/>
              <w:start w:w="120" w:type="dxa"/>
              <w:bottom w:w="80" w:type="dxa"/>
              <w:end w:w="120" w:type="dxa"/>
            </w:tcMar>
            <w:vAlign w:val="center"/>
          </w:tcPr>
          <w:p>
            <w:pPr>
              <w:spacing w:after="0"/>
            </w:pPr>
            <w:r>
              <w:rPr>
                <w:rFonts w:ascii="Calibri" w:hAnsi="Calibri"/>
                <w:b w:val="0"/>
                <w:i w:val="0"/>
                <w:sz w:val="18"/>
              </w:rPr>
              <w:t>Radical construction equals pi</w:t>
            </w:r>
          </w:p>
        </w:tc>
        <w:tc>
          <w:tcPr>
            <w:tcW w:type="dxa" w:w="3660"/>
            <w:tcMar>
              <w:top w:w="80" w:type="dxa"/>
              <w:start w:w="120" w:type="dxa"/>
              <w:bottom w:w="80" w:type="dxa"/>
              <w:end w:w="120" w:type="dxa"/>
            </w:tcMar>
            <w:vAlign w:val="center"/>
          </w:tcPr>
          <w:p>
            <w:pPr>
              <w:spacing w:after="0"/>
            </w:pPr>
            <w:r>
              <w:rPr>
                <w:rFonts w:ascii="Calibri" w:hAnsi="Calibri"/>
                <w:b w:val="0"/>
                <w:i w:val="0"/>
                <w:sz w:val="18"/>
              </w:rPr>
              <w:t>REJECTED  approximation only</w:t>
            </w:r>
          </w:p>
        </w:tc>
      </w:tr>
      <w:tr>
        <w:tc>
          <w:tcPr>
            <w:tcW w:type="dxa" w:w="5700"/>
            <w:tcMar>
              <w:top w:w="80" w:type="dxa"/>
              <w:start w:w="120" w:type="dxa"/>
              <w:bottom w:w="80" w:type="dxa"/>
              <w:end w:w="120" w:type="dxa"/>
            </w:tcMar>
            <w:vAlign w:val="center"/>
          </w:tcPr>
          <w:p>
            <w:pPr>
              <w:spacing w:after="0"/>
            </w:pPr>
            <w:r>
              <w:rPr>
                <w:rFonts w:ascii="Calibri" w:hAnsi="Calibri"/>
                <w:b w:val="0"/>
                <w:i w:val="0"/>
                <w:sz w:val="18"/>
              </w:rPr>
              <w:t>Möbius cross ratio changes under Delta fourth power</w:t>
            </w:r>
          </w:p>
        </w:tc>
        <w:tc>
          <w:tcPr>
            <w:tcW w:type="dxa" w:w="3660"/>
            <w:tcMar>
              <w:top w:w="80" w:type="dxa"/>
              <w:start w:w="120" w:type="dxa"/>
              <w:bottom w:w="80" w:type="dxa"/>
              <w:end w:w="120" w:type="dxa"/>
            </w:tcMar>
            <w:vAlign w:val="center"/>
          </w:tcPr>
          <w:p>
            <w:pPr>
              <w:spacing w:after="0"/>
            </w:pPr>
            <w:r>
              <w:rPr>
                <w:rFonts w:ascii="Calibri" w:hAnsi="Calibri"/>
                <w:b w:val="0"/>
                <w:i w:val="0"/>
                <w:sz w:val="18"/>
              </w:rPr>
              <w:t>REJECTED</w:t>
            </w:r>
          </w:p>
        </w:tc>
      </w:tr>
      <w:tr>
        <w:tc>
          <w:tcPr>
            <w:tcW w:type="dxa" w:w="5700"/>
            <w:tcMar>
              <w:top w:w="80" w:type="dxa"/>
              <w:start w:w="120" w:type="dxa"/>
              <w:bottom w:w="80" w:type="dxa"/>
              <w:end w:w="120" w:type="dxa"/>
            </w:tcMar>
            <w:vAlign w:val="center"/>
          </w:tcPr>
          <w:p>
            <w:pPr>
              <w:spacing w:after="0"/>
            </w:pPr>
            <w:r>
              <w:rPr>
                <w:rFonts w:ascii="Calibri" w:hAnsi="Calibri"/>
                <w:b w:val="0"/>
                <w:i w:val="0"/>
                <w:sz w:val="18"/>
              </w:rPr>
              <w:t>Horizon architecture solves information paradox</w:t>
            </w:r>
          </w:p>
        </w:tc>
        <w:tc>
          <w:tcPr>
            <w:tcW w:type="dxa" w:w="3660"/>
            <w:tcMar>
              <w:top w:w="80" w:type="dxa"/>
              <w:start w:w="120" w:type="dxa"/>
              <w:bottom w:w="80" w:type="dxa"/>
              <w:end w:w="120" w:type="dxa"/>
            </w:tcMar>
            <w:vAlign w:val="center"/>
          </w:tcPr>
          <w:p>
            <w:pPr>
              <w:spacing w:after="0"/>
            </w:pPr>
            <w:r>
              <w:rPr>
                <w:rFonts w:ascii="Calibri" w:hAnsi="Calibri"/>
                <w:b w:val="0"/>
                <w:i w:val="0"/>
                <w:sz w:val="18"/>
              </w:rPr>
              <w:t>DOWNGRADED to conditional architecture</w:t>
            </w:r>
          </w:p>
        </w:tc>
      </w:tr>
      <w:tr>
        <w:tc>
          <w:tcPr>
            <w:tcW w:type="dxa" w:w="5700"/>
            <w:tcMar>
              <w:top w:w="80" w:type="dxa"/>
              <w:start w:w="120" w:type="dxa"/>
              <w:bottom w:w="80" w:type="dxa"/>
              <w:end w:w="120" w:type="dxa"/>
            </w:tcMar>
            <w:vAlign w:val="center"/>
          </w:tcPr>
          <w:p>
            <w:pPr>
              <w:spacing w:after="0"/>
            </w:pPr>
            <w:r>
              <w:rPr>
                <w:rFonts w:ascii="Calibri" w:hAnsi="Calibri"/>
                <w:b w:val="0"/>
                <w:i w:val="0"/>
                <w:sz w:val="18"/>
              </w:rPr>
              <w:t>Higgs mass and matter are derived</w:t>
            </w:r>
          </w:p>
        </w:tc>
        <w:tc>
          <w:tcPr>
            <w:tcW w:type="dxa" w:w="3660"/>
            <w:tcMar>
              <w:top w:w="80" w:type="dxa"/>
              <w:start w:w="120" w:type="dxa"/>
              <w:bottom w:w="80" w:type="dxa"/>
              <w:end w:w="120" w:type="dxa"/>
            </w:tcMar>
            <w:vAlign w:val="center"/>
          </w:tcPr>
          <w:p>
            <w:pPr>
              <w:spacing w:after="0"/>
            </w:pPr>
            <w:r>
              <w:rPr>
                <w:rFonts w:ascii="Calibri" w:hAnsi="Calibri"/>
                <w:b w:val="0"/>
                <w:i w:val="0"/>
                <w:sz w:val="18"/>
              </w:rPr>
              <w:t>UNVERIFIED HYPOTHESIS</w:t>
            </w:r>
          </w:p>
        </w:tc>
      </w:tr>
      <w:tr>
        <w:tc>
          <w:tcPr>
            <w:tcW w:type="dxa" w:w="5700"/>
            <w:tcMar>
              <w:top w:w="80" w:type="dxa"/>
              <w:start w:w="120" w:type="dxa"/>
              <w:bottom w:w="80" w:type="dxa"/>
              <w:end w:w="120" w:type="dxa"/>
            </w:tcMar>
            <w:vAlign w:val="center"/>
          </w:tcPr>
          <w:p>
            <w:pPr>
              <w:spacing w:after="0"/>
            </w:pPr>
            <w:r>
              <w:rPr>
                <w:rFonts w:ascii="Calibri" w:hAnsi="Calibri"/>
                <w:b w:val="0"/>
                <w:i w:val="0"/>
                <w:sz w:val="18"/>
              </w:rPr>
              <w:t>Network statistic converges to e</w:t>
            </w:r>
          </w:p>
        </w:tc>
        <w:tc>
          <w:tcPr>
            <w:tcW w:type="dxa" w:w="3660"/>
            <w:tcMar>
              <w:top w:w="80" w:type="dxa"/>
              <w:start w:w="120" w:type="dxa"/>
              <w:bottom w:w="80" w:type="dxa"/>
              <w:end w:w="120" w:type="dxa"/>
            </w:tcMar>
            <w:vAlign w:val="center"/>
          </w:tcPr>
          <w:p>
            <w:pPr>
              <w:spacing w:after="0"/>
            </w:pPr>
            <w:r>
              <w:rPr>
                <w:rFonts w:ascii="Calibri" w:hAnsi="Calibri"/>
                <w:b w:val="0"/>
                <w:i w:val="0"/>
                <w:sz w:val="18"/>
              </w:rPr>
              <w:t>UNVERIFIED NUMERICAL OBSERVATION</w:t>
            </w:r>
          </w:p>
        </w:tc>
      </w:tr>
      <w:tr>
        <w:tc>
          <w:tcPr>
            <w:tcW w:type="dxa" w:w="5700"/>
            <w:tcMar>
              <w:top w:w="80" w:type="dxa"/>
              <w:start w:w="120" w:type="dxa"/>
              <w:bottom w:w="80" w:type="dxa"/>
              <w:end w:w="120" w:type="dxa"/>
            </w:tcMar>
            <w:vAlign w:val="center"/>
          </w:tcPr>
          <w:p>
            <w:pPr>
              <w:spacing w:after="0"/>
            </w:pPr>
            <w:r>
              <w:rPr>
                <w:rFonts w:ascii="Calibri" w:hAnsi="Calibri"/>
                <w:b w:val="0"/>
                <w:i w:val="0"/>
                <w:sz w:val="18"/>
              </w:rPr>
              <w:t>NSC always preserves fidelity while compressing</w:t>
            </w:r>
          </w:p>
        </w:tc>
        <w:tc>
          <w:tcPr>
            <w:tcW w:type="dxa" w:w="3660"/>
            <w:tcMar>
              <w:top w:w="80" w:type="dxa"/>
              <w:start w:w="120" w:type="dxa"/>
              <w:bottom w:w="80" w:type="dxa"/>
              <w:end w:w="120" w:type="dxa"/>
            </w:tcMar>
            <w:vAlign w:val="center"/>
          </w:tcPr>
          <w:p>
            <w:pPr>
              <w:spacing w:after="0"/>
            </w:pPr>
            <w:r>
              <w:rPr>
                <w:rFonts w:ascii="Calibri" w:hAnsi="Calibri"/>
                <w:b w:val="0"/>
                <w:i w:val="0"/>
                <w:sz w:val="18"/>
              </w:rPr>
              <w:t>REJECTED by official benchmark variants</w:t>
            </w:r>
          </w:p>
        </w:tc>
      </w:tr>
    </w:tbl>
    <w:p>
      <w:pPr>
        <w:spacing w:after="0"/>
      </w:pPr>
    </w:p>
    <w:p>
      <w:pPr>
        <w:pStyle w:val="Heading1"/>
      </w:pPr>
      <w:r>
        <w:t>17  Current Research Program</w:t>
      </w:r>
    </w:p>
    <w:p>
      <w:pPr>
        <w:pStyle w:val="Heading2"/>
      </w:pPr>
      <w:r>
        <w:t>17 1  What is genuinely valuable now</w:t>
      </w:r>
    </w:p>
    <w:p>
      <w:pPr>
        <w:pStyle w:val="ListBullet"/>
        <w:spacing w:after="80" w:line="288" w:lineRule="auto"/>
      </w:pPr>
      <w:r>
        <w:rPr>
          <w:rFonts w:ascii="Calibri" w:hAnsi="Calibri"/>
          <w:b w:val="0"/>
          <w:i w:val="0"/>
          <w:sz w:val="22"/>
        </w:rPr>
        <w:t>A compact generator language connecting composition invariants order and holonomy</w:t>
      </w:r>
    </w:p>
    <w:p>
      <w:pPr>
        <w:pStyle w:val="ListBullet"/>
        <w:spacing w:after="80" w:line="288" w:lineRule="auto"/>
      </w:pPr>
      <w:r>
        <w:rPr>
          <w:rFonts w:ascii="Calibri" w:hAnsi="Calibri"/>
          <w:b w:val="0"/>
          <w:i w:val="0"/>
          <w:sz w:val="22"/>
        </w:rPr>
        <w:t>A formal two dimensional closure theorem that covers oscillatory and hyperbolic classes</w:t>
      </w:r>
    </w:p>
    <w:p>
      <w:pPr>
        <w:pStyle w:val="ListBullet"/>
        <w:spacing w:after="80" w:line="288" w:lineRule="auto"/>
      </w:pPr>
      <w:r>
        <w:rPr>
          <w:rFonts w:ascii="Calibri" w:hAnsi="Calibri"/>
          <w:b w:val="0"/>
          <w:i w:val="0"/>
          <w:sz w:val="22"/>
        </w:rPr>
        <w:t>A disciplined remove freeze fit protocol</w:t>
      </w:r>
    </w:p>
    <w:p>
      <w:pPr>
        <w:pStyle w:val="ListBullet"/>
        <w:spacing w:after="80" w:line="288" w:lineRule="auto"/>
      </w:pPr>
      <w:r>
        <w:rPr>
          <w:rFonts w:ascii="Calibri" w:hAnsi="Calibri"/>
          <w:b w:val="0"/>
          <w:i w:val="0"/>
          <w:sz w:val="22"/>
        </w:rPr>
        <w:t>Evidence that some optical inverse problems admit strong physics informed compression</w:t>
      </w:r>
    </w:p>
    <w:p>
      <w:pPr>
        <w:pStyle w:val="ListBullet"/>
        <w:spacing w:after="80" w:line="288" w:lineRule="auto"/>
      </w:pPr>
      <w:r>
        <w:rPr>
          <w:rFonts w:ascii="Calibri" w:hAnsi="Calibri"/>
          <w:b w:val="0"/>
          <w:i w:val="0"/>
          <w:sz w:val="22"/>
        </w:rPr>
        <w:t>Negative results that identify when ordered composition is inappropriate</w:t>
      </w:r>
    </w:p>
    <w:p>
      <w:pPr>
        <w:pStyle w:val="Heading2"/>
      </w:pPr>
      <w:r>
        <w:t>17 2  Priority experiments</w:t>
      </w:r>
    </w:p>
    <w:p>
      <w:pPr>
        <w:pStyle w:val="ListBullet"/>
        <w:spacing w:after="80" w:line="288" w:lineRule="auto"/>
      </w:pPr>
      <w:r>
        <w:rPr>
          <w:rFonts w:ascii="Calibri" w:hAnsi="Calibri"/>
          <w:b w:val="0"/>
          <w:i w:val="0"/>
          <w:sz w:val="22"/>
        </w:rPr>
        <w:t>Use real public experimental optical spectra with a preregistered split and an independent reference solver</w:t>
      </w:r>
    </w:p>
    <w:p>
      <w:pPr>
        <w:pStyle w:val="ListBullet"/>
        <w:spacing w:after="80" w:line="288" w:lineRule="auto"/>
      </w:pPr>
      <w:r>
        <w:rPr>
          <w:rFonts w:ascii="Calibri" w:hAnsi="Calibri"/>
          <w:b w:val="0"/>
          <w:i w:val="0"/>
          <w:sz w:val="22"/>
        </w:rPr>
        <w:t>Distill a physical RCWA or Maxwell solver into an NSC state while enforcing measurable invariants</w:t>
      </w:r>
    </w:p>
    <w:p>
      <w:pPr>
        <w:pStyle w:val="ListBullet"/>
        <w:spacing w:after="80" w:line="288" w:lineRule="auto"/>
      </w:pPr>
      <w:r>
        <w:rPr>
          <w:rFonts w:ascii="Calibri" w:hAnsi="Calibri"/>
          <w:b w:val="0"/>
          <w:i w:val="0"/>
          <w:sz w:val="22"/>
        </w:rPr>
        <w:t>Compare against strong specialized solvers rather than generic neural networks alone</w:t>
      </w:r>
    </w:p>
    <w:p>
      <w:pPr>
        <w:pStyle w:val="ListBullet"/>
        <w:spacing w:after="80" w:line="288" w:lineRule="auto"/>
      </w:pPr>
      <w:r>
        <w:rPr>
          <w:rFonts w:ascii="Calibri" w:hAnsi="Calibri"/>
          <w:b w:val="0"/>
          <w:i w:val="0"/>
          <w:sz w:val="22"/>
        </w:rPr>
        <w:t>Measure the Pareto frontier between parameter count blind error fit time and inference time</w:t>
      </w:r>
    </w:p>
    <w:p>
      <w:pPr>
        <w:pStyle w:val="ListBullet"/>
        <w:spacing w:after="80" w:line="288" w:lineRule="auto"/>
      </w:pPr>
      <w:r>
        <w:rPr>
          <w:rFonts w:ascii="Calibri" w:hAnsi="Calibri"/>
          <w:b w:val="0"/>
          <w:i w:val="0"/>
          <w:sz w:val="22"/>
        </w:rPr>
        <w:t>Test noncommutative composition only on genuinely ordered layers or paths</w:t>
      </w:r>
    </w:p>
    <w:p>
      <w:pPr>
        <w:pStyle w:val="ListBullet"/>
        <w:spacing w:after="80" w:line="288" w:lineRule="auto"/>
      </w:pPr>
      <w:r>
        <w:rPr>
          <w:rFonts w:ascii="Calibri" w:hAnsi="Calibri"/>
          <w:b w:val="0"/>
          <w:i w:val="0"/>
          <w:sz w:val="22"/>
        </w:rPr>
        <w:t>Require a concrete encoder decoder units and novel observable before reopening Higgs horizon or dark matter claims</w:t>
      </w:r>
    </w:p>
    <w:p>
      <w:pPr>
        <w:pStyle w:val="Heading2"/>
      </w:pPr>
      <w:r>
        <w:t>17 3  Falsification criteria</w:t>
      </w:r>
    </w:p>
    <w:p>
      <w:pPr>
        <w:spacing w:after="120" w:line="300" w:lineRule="auto"/>
      </w:pPr>
      <w:r>
        <w:rPr>
          <w:rFonts w:ascii="Calibri" w:hAnsi="Calibri"/>
          <w:b w:val="0"/>
          <w:i w:val="0"/>
          <w:sz w:val="22"/>
        </w:rPr>
        <w:t>NSC should be rejected for a task if a same size standard baseline is consistently more accurate if compression destroys the task relevant invariant if the required encoder is equivalent to the full reference solver with no reduction or if a claimed physical prediction cannot be stated before observing the target</w:t>
      </w:r>
    </w:p>
    <w:p>
      <w:pPr>
        <w:pStyle w:val="Heading1"/>
      </w:pPr>
      <w:r>
        <w:t>18  Conclusion</w:t>
      </w:r>
    </w:p>
    <w:p>
      <w:pPr>
        <w:spacing w:after="120" w:line="300" w:lineRule="auto"/>
      </w:pPr>
      <w:r>
        <w:rPr>
          <w:rFonts w:ascii="Calibri" w:hAnsi="Calibri"/>
          <w:b w:val="0"/>
          <w:i w:val="0"/>
          <w:sz w:val="22"/>
        </w:rPr>
        <w:t>NSC now has a coherent mathematical core under explicit assumptions  Its strongest theorem is the finite dimensional generator structure with exact composition invariant form preservation determinant control and two dimensional oscillatory hyperbolic nilpotent classification  Its strongest applied result is compact physics informed recovery in synthetic layered optical absorption  Its strongest methodological result is a clear separation between compression representation and physical proof</w:t>
      </w:r>
    </w:p>
    <w:p>
      <w:pPr>
        <w:spacing w:after="120" w:line="300" w:lineRule="auto"/>
      </w:pPr>
      <w:r>
        <w:rPr>
          <w:rFonts w:ascii="Calibri" w:hAnsi="Calibri"/>
          <w:b w:val="0"/>
          <w:i w:val="0"/>
          <w:sz w:val="22"/>
        </w:rPr>
        <w:t>The public nanophotonics benchmark is equally important because it blocked an exaggerated conclusion  NSC compressed strongly but the tested constrained exponential forms lost predictive fidelity  This establishes the central research question  not whether NSC can become small but which invariants must survive so that smallness remains useful</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pPr>
              <w:spacing w:after="60"/>
            </w:pPr>
            <w:r>
              <w:rPr>
                <w:rFonts w:ascii="Calibri" w:hAnsi="Calibri"/>
                <w:b/>
                <w:i w:val="0"/>
                <w:color w:val="1F4D78"/>
                <w:sz w:val="22"/>
              </w:rPr>
              <w:t>Final verdict</w:t>
            </w:r>
          </w:p>
          <w:p>
            <w:pPr>
              <w:spacing w:after="0"/>
            </w:pPr>
            <w:r>
              <w:rPr>
                <w:rFonts w:ascii="Calibri" w:hAnsi="Calibri"/>
                <w:b w:val="0"/>
                <w:i w:val="0"/>
                <w:sz w:val="20"/>
              </w:rPr>
              <w:t>NSC is presently a mathematically coherent structural compression research program  It is not yet a validated fundamental physical theory</w:t>
            </w:r>
          </w:p>
        </w:tc>
      </w:tr>
    </w:tbl>
    <w:p>
      <w:pPr>
        <w:spacing w:after="40"/>
      </w:pPr>
    </w:p>
    <w:p>
      <w:pPr>
        <w:pStyle w:val="Heading1"/>
      </w:pPr>
      <w:r>
        <w:t>Appendix A  Symbol Glossary</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shd w:fill="E8EEF5"/>
            <w:tcMar>
              <w:top w:w="80" w:type="dxa"/>
              <w:start w:w="120" w:type="dxa"/>
              <w:bottom w:w="80" w:type="dxa"/>
              <w:end w:w="120" w:type="dxa"/>
            </w:tcMar>
            <w:vAlign w:val="center"/>
          </w:tcPr>
          <w:p>
            <w:pPr>
              <w:spacing w:after="0"/>
            </w:pPr>
            <w:r>
              <w:rPr>
                <w:rFonts w:ascii="Calibri" w:hAnsi="Calibri"/>
                <w:b/>
                <w:i w:val="0"/>
                <w:color w:val="1F4D78"/>
                <w:sz w:val="18"/>
              </w:rPr>
              <w:t>Symbol</w:t>
            </w:r>
          </w:p>
        </w:tc>
        <w:tc>
          <w:tcPr>
            <w:tcW w:type="dxa" w:w="7460"/>
            <w:shd w:fill="E8EEF5"/>
            <w:tcMar>
              <w:top w:w="80" w:type="dxa"/>
              <w:start w:w="120" w:type="dxa"/>
              <w:bottom w:w="80" w:type="dxa"/>
              <w:end w:w="120" w:type="dxa"/>
            </w:tcMar>
            <w:vAlign w:val="center"/>
          </w:tcPr>
          <w:p>
            <w:pPr>
              <w:spacing w:after="0"/>
            </w:pPr>
            <w:r>
              <w:rPr>
                <w:rFonts w:ascii="Calibri" w:hAnsi="Calibri"/>
                <w:b/>
                <w:i w:val="0"/>
                <w:color w:val="1F4D78"/>
                <w:sz w:val="18"/>
              </w:rPr>
              <w:t>Meaning</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Δ</w:t>
            </w:r>
          </w:p>
        </w:tc>
        <w:tc>
          <w:tcPr>
            <w:tcW w:type="dxa" w:w="7460"/>
            <w:tcMar>
              <w:top w:w="80" w:type="dxa"/>
              <w:start w:w="120" w:type="dxa"/>
              <w:bottom w:w="80" w:type="dxa"/>
              <w:end w:w="120" w:type="dxa"/>
            </w:tcMar>
            <w:vAlign w:val="center"/>
          </w:tcPr>
          <w:p>
            <w:pPr>
              <w:spacing w:after="0"/>
            </w:pPr>
            <w:r>
              <w:rPr>
                <w:rFonts w:ascii="Calibri" w:hAnsi="Calibri"/>
                <w:b w:val="0"/>
                <w:i w:val="0"/>
                <w:sz w:val="18"/>
              </w:rPr>
              <w:t>Relational transformation parameter or step</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G</w:t>
            </w:r>
          </w:p>
        </w:tc>
        <w:tc>
          <w:tcPr>
            <w:tcW w:type="dxa" w:w="7460"/>
            <w:tcMar>
              <w:top w:w="80" w:type="dxa"/>
              <w:start w:w="120" w:type="dxa"/>
              <w:bottom w:w="80" w:type="dxa"/>
              <w:end w:w="120" w:type="dxa"/>
            </w:tcMar>
            <w:vAlign w:val="center"/>
          </w:tcPr>
          <w:p>
            <w:pPr>
              <w:spacing w:after="0"/>
            </w:pPr>
            <w:r>
              <w:rPr>
                <w:rFonts w:ascii="Calibri" w:hAnsi="Calibri"/>
                <w:b w:val="0"/>
                <w:i w:val="0"/>
                <w:sz w:val="18"/>
              </w:rPr>
              <w:t>Linear generator</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U(Δ)</w:t>
            </w:r>
          </w:p>
        </w:tc>
        <w:tc>
          <w:tcPr>
            <w:tcW w:type="dxa" w:w="7460"/>
            <w:tcMar>
              <w:top w:w="80" w:type="dxa"/>
              <w:start w:w="120" w:type="dxa"/>
              <w:bottom w:w="80" w:type="dxa"/>
              <w:end w:w="120" w:type="dxa"/>
            </w:tcMar>
            <w:vAlign w:val="center"/>
          </w:tcPr>
          <w:p>
            <w:pPr>
              <w:spacing w:after="0"/>
            </w:pPr>
            <w:r>
              <w:rPr>
                <w:rFonts w:ascii="Calibri" w:hAnsi="Calibri"/>
                <w:b w:val="0"/>
                <w:i w:val="0"/>
                <w:sz w:val="18"/>
              </w:rPr>
              <w:t>Exponential representation exp(ΔG)</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H</w:t>
            </w:r>
          </w:p>
        </w:tc>
        <w:tc>
          <w:tcPr>
            <w:tcW w:type="dxa" w:w="7460"/>
            <w:tcMar>
              <w:top w:w="80" w:type="dxa"/>
              <w:start w:w="120" w:type="dxa"/>
              <w:bottom w:w="80" w:type="dxa"/>
              <w:end w:w="120" w:type="dxa"/>
            </w:tcMar>
            <w:vAlign w:val="center"/>
          </w:tcPr>
          <w:p>
            <w:pPr>
              <w:spacing w:after="0"/>
            </w:pPr>
            <w:r>
              <w:rPr>
                <w:rFonts w:ascii="Calibri" w:hAnsi="Calibri"/>
                <w:b w:val="0"/>
                <w:i w:val="0"/>
                <w:sz w:val="18"/>
              </w:rPr>
              <w:t>Invariant bilinear or Hermitian form</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κ</w:t>
            </w:r>
          </w:p>
        </w:tc>
        <w:tc>
          <w:tcPr>
            <w:tcW w:type="dxa" w:w="7460"/>
            <w:tcMar>
              <w:top w:w="80" w:type="dxa"/>
              <w:start w:w="120" w:type="dxa"/>
              <w:bottom w:w="80" w:type="dxa"/>
              <w:end w:w="120" w:type="dxa"/>
            </w:tcMar>
            <w:vAlign w:val="center"/>
          </w:tcPr>
          <w:p>
            <w:pPr>
              <w:spacing w:after="0"/>
            </w:pPr>
            <w:r>
              <w:rPr>
                <w:rFonts w:ascii="Calibri" w:hAnsi="Calibri"/>
                <w:b w:val="0"/>
                <w:i w:val="0"/>
                <w:sz w:val="18"/>
              </w:rPr>
              <w:t>Two dimensional closure scalar equal to minus det G for trace free G</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P</w:t>
            </w:r>
          </w:p>
        </w:tc>
        <w:tc>
          <w:tcPr>
            <w:tcW w:type="dxa" w:w="7460"/>
            <w:tcMar>
              <w:top w:w="80" w:type="dxa"/>
              <w:start w:w="120" w:type="dxa"/>
              <w:bottom w:w="80" w:type="dxa"/>
              <w:end w:w="120" w:type="dxa"/>
            </w:tcMar>
            <w:vAlign w:val="center"/>
          </w:tcPr>
          <w:p>
            <w:pPr>
              <w:spacing w:after="0"/>
            </w:pPr>
            <w:r>
              <w:rPr>
                <w:rFonts w:ascii="Calibri" w:hAnsi="Calibri"/>
                <w:b w:val="0"/>
                <w:i w:val="0"/>
                <w:sz w:val="18"/>
              </w:rPr>
              <w:t>Path ordering operator</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H_γ</w:t>
            </w:r>
          </w:p>
        </w:tc>
        <w:tc>
          <w:tcPr>
            <w:tcW w:type="dxa" w:w="7460"/>
            <w:tcMar>
              <w:top w:w="80" w:type="dxa"/>
              <w:start w:w="120" w:type="dxa"/>
              <w:bottom w:w="80" w:type="dxa"/>
              <w:end w:w="120" w:type="dxa"/>
            </w:tcMar>
            <w:vAlign w:val="center"/>
          </w:tcPr>
          <w:p>
            <w:pPr>
              <w:spacing w:after="0"/>
            </w:pPr>
            <w:r>
              <w:rPr>
                <w:rFonts w:ascii="Calibri" w:hAnsi="Calibri"/>
                <w:b w:val="0"/>
                <w:i w:val="0"/>
                <w:sz w:val="18"/>
              </w:rPr>
              <w:t>Holonomy along path gamma</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R T</w:t>
            </w:r>
          </w:p>
        </w:tc>
        <w:tc>
          <w:tcPr>
            <w:tcW w:type="dxa" w:w="7460"/>
            <w:tcMar>
              <w:top w:w="80" w:type="dxa"/>
              <w:start w:w="120" w:type="dxa"/>
              <w:bottom w:w="80" w:type="dxa"/>
              <w:end w:w="120" w:type="dxa"/>
            </w:tcMar>
            <w:vAlign w:val="center"/>
          </w:tcPr>
          <w:p>
            <w:pPr>
              <w:spacing w:after="0"/>
            </w:pPr>
            <w:r>
              <w:rPr>
                <w:rFonts w:ascii="Calibri" w:hAnsi="Calibri"/>
                <w:b w:val="0"/>
                <w:i w:val="0"/>
                <w:sz w:val="18"/>
              </w:rPr>
              <w:t>Optical reflectance and transmittance or context specific light cone variables</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ρ</w:t>
            </w:r>
          </w:p>
        </w:tc>
        <w:tc>
          <w:tcPr>
            <w:tcW w:type="dxa" w:w="7460"/>
            <w:tcMar>
              <w:top w:w="80" w:type="dxa"/>
              <w:start w:w="120" w:type="dxa"/>
              <w:bottom w:w="80" w:type="dxa"/>
              <w:end w:w="120" w:type="dxa"/>
            </w:tcMar>
            <w:vAlign w:val="center"/>
          </w:tcPr>
          <w:p>
            <w:pPr>
              <w:spacing w:after="0"/>
            </w:pPr>
            <w:r>
              <w:rPr>
                <w:rFonts w:ascii="Calibri" w:hAnsi="Calibri"/>
                <w:b w:val="0"/>
                <w:i w:val="0"/>
                <w:sz w:val="18"/>
              </w:rPr>
              <w:t>49 minus 20 square root 6</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C</w:t>
            </w:r>
          </w:p>
        </w:tc>
        <w:tc>
          <w:tcPr>
            <w:tcW w:type="dxa" w:w="7460"/>
            <w:tcMar>
              <w:top w:w="80" w:type="dxa"/>
              <w:start w:w="120" w:type="dxa"/>
              <w:bottom w:w="80" w:type="dxa"/>
              <w:end w:w="120" w:type="dxa"/>
            </w:tcMar>
            <w:vAlign w:val="center"/>
          </w:tcPr>
          <w:p>
            <w:pPr>
              <w:spacing w:after="0"/>
            </w:pPr>
            <w:r>
              <w:rPr>
                <w:rFonts w:ascii="Calibri" w:hAnsi="Calibri"/>
                <w:b w:val="0"/>
                <w:i w:val="0"/>
                <w:sz w:val="18"/>
              </w:rPr>
              <w:t>square root of 2 plus square root 2 divided by 2</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δₙ</w:t>
            </w:r>
          </w:p>
        </w:tc>
        <w:tc>
          <w:tcPr>
            <w:tcW w:type="dxa" w:w="7460"/>
            <w:tcMar>
              <w:top w:w="80" w:type="dxa"/>
              <w:start w:w="120" w:type="dxa"/>
              <w:bottom w:w="80" w:type="dxa"/>
              <w:end w:w="120" w:type="dxa"/>
            </w:tcMar>
            <w:vAlign w:val="center"/>
          </w:tcPr>
          <w:p>
            <w:pPr>
              <w:spacing w:after="0"/>
            </w:pPr>
            <w:r>
              <w:rPr>
                <w:rFonts w:ascii="Calibri" w:hAnsi="Calibri"/>
                <w:b w:val="0"/>
                <w:i w:val="0"/>
                <w:sz w:val="18"/>
              </w:rPr>
              <w:t>nth RHMC Delta series term</w:t>
            </w:r>
          </w:p>
        </w:tc>
      </w:tr>
    </w:tbl>
    <w:p>
      <w:pPr>
        <w:spacing w:after="0"/>
      </w:pPr>
    </w:p>
    <w:p>
      <w:pPr>
        <w:pStyle w:val="Heading1"/>
      </w:pPr>
      <w:r>
        <w:t>Appendix B  Reproducibility Ledger</w:t>
      </w:r>
    </w:p>
    <w:p>
      <w:pPr>
        <w:spacing w:after="120" w:line="300" w:lineRule="auto"/>
      </w:pPr>
      <w:r>
        <w:rPr>
          <w:rFonts w:ascii="Calibri" w:hAnsi="Calibri"/>
          <w:b w:val="0"/>
          <w:i w:val="0"/>
          <w:sz w:val="22"/>
        </w:rPr>
        <w:t>Benchmark 1 was locked on 18 August 2026 with a research maturity score of 81 out of 100  This score describes maturity rather than probability of fundamental truth  A1 through W8 files seeds thresholds failures invalid runs and hashes are frozen  Any change requires a new version</w:t>
      </w:r>
    </w:p>
    <w:p>
      <w:pPr>
        <w:spacing w:after="120" w:line="300" w:lineRule="auto"/>
      </w:pPr>
      <w:r>
        <w:rPr>
          <w:rFonts w:ascii="Calibri" w:hAnsi="Calibri"/>
          <w:b w:val="0"/>
          <w:i w:val="0"/>
          <w:sz w:val="22"/>
        </w:rPr>
        <w:t>Benchmark 2 independent metric discovery used seed 26082627 with 20000 training samples and 10000 test samples  The training Delta range was minus 0.03 to 0.03 and blind ranges were minus 2.5 to minus 0.4 and 0.4 to 2.5</w:t>
      </w:r>
    </w:p>
    <w:p>
      <w:pPr>
        <w:spacing w:after="120" w:line="300" w:lineRule="auto"/>
      </w:pPr>
      <w:r>
        <w:rPr>
          <w:rFonts w:ascii="Calibri" w:hAnsi="Calibri"/>
          <w:b w:val="0"/>
          <w:i w:val="0"/>
          <w:sz w:val="22"/>
        </w:rPr>
        <w:t>Benchmark 3 efficiency used seed 26082691 with training sizes from 250 to 8000 and 5000 test samples  The declared target RMSE was 0.015  Its fairness boundary was comparison with a generic MLP rather than a specialized inverse transfer matrix solver</w:t>
      </w:r>
    </w:p>
    <w:p>
      <w:pPr>
        <w:pStyle w:val="Heading1"/>
      </w:pPr>
      <w:r>
        <w:t>Appendix C  Selected References</w:t>
      </w:r>
    </w:p>
    <w:p>
      <w:pPr>
        <w:pStyle w:val="ListBullet"/>
        <w:spacing w:after="80" w:line="288" w:lineRule="auto"/>
      </w:pPr>
      <w:r>
        <w:rPr>
          <w:rFonts w:ascii="Calibri" w:hAnsi="Calibri"/>
          <w:b w:val="0"/>
          <w:i w:val="0"/>
          <w:sz w:val="22"/>
        </w:rPr>
        <w:t>Abelès F  1950  Recherches sur la propagation des ondes électromagnétiques sinusoïdales  Annales de Physique 12 596 to 640</w:t>
      </w:r>
    </w:p>
    <w:p>
      <w:pPr>
        <w:pStyle w:val="ListBullet"/>
        <w:spacing w:after="80" w:line="288" w:lineRule="auto"/>
      </w:pPr>
      <w:r>
        <w:rPr>
          <w:rFonts w:ascii="Calibri" w:hAnsi="Calibri"/>
          <w:b w:val="0"/>
          <w:i w:val="0"/>
          <w:sz w:val="22"/>
        </w:rPr>
        <w:t>Byrnes S J  2020  Multilayer optical calculations  arXiv 1603 02720</w:t>
      </w:r>
    </w:p>
    <w:p>
      <w:pPr>
        <w:pStyle w:val="ListBullet"/>
        <w:spacing w:after="80" w:line="288" w:lineRule="auto"/>
      </w:pPr>
      <w:r>
        <w:rPr>
          <w:rFonts w:ascii="Calibri" w:hAnsi="Calibri"/>
          <w:b w:val="0"/>
          <w:i w:val="0"/>
          <w:sz w:val="22"/>
        </w:rPr>
        <w:t>Danis B S and Zayim E  2025  TMMax high performance modeling of multilayer thin film structures using JAX  Journal of Open Source Software 10 9088</w:t>
      </w:r>
    </w:p>
    <w:p>
      <w:pPr>
        <w:pStyle w:val="ListBullet"/>
        <w:spacing w:after="80" w:line="288" w:lineRule="auto"/>
      </w:pPr>
      <w:r>
        <w:rPr>
          <w:rFonts w:ascii="Calibri" w:hAnsi="Calibri"/>
          <w:b w:val="0"/>
          <w:i w:val="0"/>
          <w:sz w:val="22"/>
        </w:rPr>
        <w:t>Ma T  Tobah M  Wang H and Guo L J  2022  Benchmarking deep learning based models on nanophotonic inverse design problems  Opto Electronic Science 1 210012</w:t>
      </w:r>
    </w:p>
    <w:p>
      <w:pPr>
        <w:pStyle w:val="ListBullet"/>
        <w:spacing w:after="80" w:line="288" w:lineRule="auto"/>
      </w:pPr>
      <w:r>
        <w:rPr>
          <w:rFonts w:ascii="Calibri" w:hAnsi="Calibri"/>
          <w:b w:val="0"/>
          <w:i w:val="0"/>
          <w:sz w:val="22"/>
        </w:rPr>
        <w:t>Jung U  Jang D  Kim S and Kim J  2025  Improving the performance of optical inverse design of multilayer thin films using CNN LSTM tandem neural networks  arXiv 2506 10044</w:t>
      </w:r>
    </w:p>
    <w:p>
      <w:pPr>
        <w:pStyle w:val="ListBullet"/>
        <w:spacing w:after="80" w:line="288" w:lineRule="auto"/>
      </w:pPr>
      <w:r>
        <w:rPr>
          <w:rFonts w:ascii="Calibri" w:hAnsi="Calibri"/>
          <w:b w:val="0"/>
          <w:i w:val="0"/>
          <w:sz w:val="22"/>
        </w:rPr>
        <w:t>Danis B S and colleagues  2026  Inverse Engineering of Optical Constants in Photochromic Micron Scale Hybrid Films  arXiv 2602 16180</w:t>
      </w:r>
    </w:p>
    <w:p>
      <w:pPr>
        <w:pStyle w:val="ListBullet"/>
        <w:spacing w:after="80" w:line="288" w:lineRule="auto"/>
      </w:pPr>
      <w:r>
        <w:rPr>
          <w:rFonts w:ascii="Calibri" w:hAnsi="Calibri"/>
          <w:b w:val="0"/>
          <w:i w:val="0"/>
          <w:sz w:val="22"/>
        </w:rPr>
        <w:t>Internal project archive  NSC Benchmark 1 Locked Checkpoint 18 August 2026</w:t>
      </w:r>
    </w:p>
    <w:p>
      <w:pPr>
        <w:pStyle w:val="ListBullet"/>
        <w:spacing w:after="80" w:line="288" w:lineRule="auto"/>
      </w:pPr>
      <w:r>
        <w:rPr>
          <w:rFonts w:ascii="Calibri" w:hAnsi="Calibri"/>
          <w:b w:val="0"/>
          <w:i w:val="0"/>
          <w:sz w:val="22"/>
        </w:rPr>
        <w:t>Internal project archive  NSC Formal Mathematical Core version 1 0 18 August 2026</w:t>
      </w:r>
    </w:p>
    <w:p>
      <w:pPr>
        <w:pStyle w:val="ListBullet"/>
        <w:spacing w:after="80" w:line="288" w:lineRule="auto"/>
      </w:pPr>
      <w:r>
        <w:rPr>
          <w:rFonts w:ascii="Calibri" w:hAnsi="Calibri"/>
          <w:b w:val="0"/>
          <w:i w:val="0"/>
          <w:sz w:val="22"/>
        </w:rPr>
        <w:t>Internal project archive  NSC Independent Technical Audit version 0 4 18 August 2026</w:t>
      </w:r>
    </w:p>
    <w:p>
      <w:pPr>
        <w:pStyle w:val="ListBullet"/>
        <w:spacing w:after="80" w:line="288" w:lineRule="auto"/>
      </w:pPr>
      <w:r>
        <w:rPr>
          <w:rFonts w:ascii="Calibri" w:hAnsi="Calibri"/>
          <w:b w:val="0"/>
          <w:i w:val="0"/>
          <w:sz w:val="22"/>
        </w:rPr>
        <w:t>Internal project archive  NSC Compression Goal Checkpoint 18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470"/>
        <w:sz w:val="16"/>
      </w:rPr>
      <w:t xml:space="preserve">Siamak  |  Independent Research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A6470"/>
        <w:sz w:val="16"/>
      </w:rPr>
      <w:t>NEW SOFT CUBE  |  COMPLETE RESEARCH MONOGRAPH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Soft Cube  A Structural Compression Algebra</dc:title>
  <dc:subject>Complete NSC research monograph</dc:subject>
  <dc:creator>Siamak  Independent Research</dc:creator>
  <cp:keywords>NSC Delta structural compression optics relativity holonomy RHMC</cp:keywords>
  <dc:description>generated by python-docx</dc:description>
  <cp:lastModifiedBy/>
  <cp:revision>1</cp:revision>
  <dcterms:created xsi:type="dcterms:W3CDTF">2013-12-23T23:15:00Z</dcterms:created>
  <dcterms:modified xsi:type="dcterms:W3CDTF">2013-12-23T23:15:00Z</dcterms:modified>
  <cp:category/>
</cp:coreProperties>
</file>