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160" w:after="120" w:line="300" w:lineRule="auto"/>
      </w:pPr>
      <w:r>
        <w:rPr>
          <w:b/>
          <w:sz w:val="40"/>
        </w:rPr>
        <w:t xml:space="preserve">Ledger App: A Privacy-First Automated Personal Finance Management and Analytics System</w:t>
      </w:r>
    </w:p>
    <w:p>
      <w:pPr>
        <w:jc w:val="center"/>
        <w:spacing w:after="240" w:line="240" w:lineRule="auto"/>
      </w:pPr>
      <w:r>
        <w:rPr>
          <w:sz w:val="20"/>
        </w:rPr>
        <w:t xml:space="preserve">LOH KEAT SIANG, YEAP ZI JIA, LEE GIM SHENG, JACKY KONG KAH WEI</w:t>
      </w:r>
    </w:p>
    <w:p>
      <w:pPr>
        <w:jc w:val="both"/>
        <w:spacing w:before="120" w:after="240" w:line="240" w:lineRule="auto"/>
        <w:ind w:left="400" w:right="400"/>
      </w:pPr>
      <w:r>
        <w:rPr>
          <w:b/>
          <w:i/>
          <w:sz w:val="18"/>
        </w:rPr>
        <w:t xml:space="preserve">ABSTRACT: </w:t>
      </w:r>
      <w:r>
        <w:rPr>
          <w:b/>
          <w:sz w:val="18"/>
        </w:rPr>
        <w:t xml:space="preserve">This article discusses personal financial tracking, privacy vulnerabilities, and bookkeeping friction which continue to be prevalent challenges faced by modern households. Commercial personal accounting applications fundamentally suffer from severe data harvesting, persistent intrusive advertisements, and tedious manual data entry. This proposal presents Ledger App, a privacy-first automated personal finance management and analytics platform engineered using Python, Flask, RapidOCR computer vision, and an Android Companion listener to deliver zero-effort transaction capture and deep financial analytics. One of the main useful features of this system is an automated notification ingestion pipeline that intercepts payment push alerts from financial institutions in real time. The system employs an Open/Closed strategy parsing engine to accurately extract amounts and recipient details, coupled with a sliding-window deduplication filter to eliminate internal transfer misclassifications. The system also includes an offline RapidOCR receipt scanning module with four-way orientation detection to automatically itemize dining bills and split expenses amongst participants. In terms of data visualization, the system implements an inner-radius dynamic typography algorithm within Chart.js doughnut charts to guarantee unobscured numerical rendering across multiple languages. All of these components together show how an intelligent, privacy-centric ledger system can lessen manual accounting burdens and empower individuals toward smarter financial planning and data sovereignty.</w:t>
      </w:r>
    </w:p>
    <w:p>
      <w:pPr>
        <w:sectPr>
          <w:type w:val="continuous"/>
          <w:pgSz w:w="11906" w:h="16838"/>
          <w:pgMar w:top="1080" w:right="1080" w:bottom="1080" w:left="1080"/>
          <w:cols w:num="1"/>
        </w:sectPr>
      </w:pPr>
    </w:p>
    <w:p>
      <w:pPr>
        <w:jc w:val="center"/>
        <w:spacing w:before="240" w:after="100" w:line="240" w:lineRule="auto"/>
      </w:pPr>
      <w:r>
        <w:rPr>
          <w:b/>
          <w:sz w:val="21"/>
          <w:color w:val="000000"/>
        </w:rPr>
        <w:t>I. INTRODUCTION</w:t>
      </w:r>
    </w:p>
    <w:p>
      <w:pPr>
        <w:jc w:val="both"/>
        <w:spacing w:line="240" w:lineRule="auto"/>
      </w:pPr>
      <w:r>
        <w:t xml:space="preserve">Personal finance management, budgeting precision, and expense audits are essential components of modern household economic health [1]. However, conventional bookkeeping software creates substantial friction, causing users to abandon manual logging within weeks of onboarding. In addition to tedious manual data entry, commercial cloud-based financial software frequently monetizes user transaction records through behavioral ad-targeting and third-party aggregation, raising grave privacy and security concerns [2]. To combat these problems, this proposal presents Ledger App, an intelligent personal finance system enabled by native Android notification listening, offline computer vision OCR, and distributed cloud synchronization [3].</w:t>
      </w:r>
    </w:p>
    <w:p>
      <w:pPr>
        <w:jc w:val="both"/>
        <w:spacing w:line="240" w:lineRule="auto"/>
      </w:pPr>
      <w:r>
        <w:t xml:space="preserve">One of the major components of this system is the automated ingestion engine which monitors financial transactions continually. When payments are made via supported financial entities such as Touch 'n Go eWallet, GrabPay, or Maybank MAE, the native Android companion service captures the system push notification and encrypts the raw payload for transmission to the central ledger API. The backend processes the text via domain-driven parser strategies to extract transaction amounts, merchant names, timestamps, and categories without human intervention.</w:t>
      </w:r>
    </w:p>
    <w:p>
      <w:pPr>
        <w:jc w:val="both"/>
        <w:spacing w:line="240" w:lineRule="auto"/>
      </w:pPr>
      <w:r>
        <w:t xml:space="preserve">In dining and group entertainment scenarios, manual itemization of receipts is time-consuming and prone to errors. Ledger App integrates an offline RapidOCR vision engine that processes receipt photographs, corrects arbitrary camera tilts (0°, 90°, 180°, 270°), separates line items from 10% service charges and 6% SST, and provides an intuitive drag-and-click matrix for fair bill splitting [4]. Furthermore, when friends subsequently reimburse the group payer, an Expense Offset feature directly couples the reimbursement to the original expenditure, dynamically recalculating the true net cost.</w:t>
      </w:r>
    </w:p>
    <w:p>
      <w:pPr>
        <w:jc w:val="center"/>
        <w:spacing w:before="140" w:after="60"/>
      </w:pPr>
      <w:r>
        <w:drawing>
          <wp:inline distT="0" distB="0" distL="0" distR="0">
            <wp:extent cx="2743200" cy="2236886"/>
            <wp:docPr id="1" name="Figure 1"/>
            <a:graphic xmlns:a="http://schemas.openxmlformats.org/drawingml/2006/main">
              <a:graphicData uri="http://schemas.openxmlformats.org/drawingml/2006/picture">
                <pic:pic xmlns:pic="http://schemas.openxmlformats.org/drawingml/2006/picture">
                  <pic:nvPicPr>
                    <pic:cNvPr id="1" name="fig1_dashboard.png"/>
                    <pic:cNvPicPr/>
                  </pic:nvPicPr>
                  <pic:blipFill>
                    <a:blip xmlns:r="http://schemas.openxmlformats.org/officeDocument/2006/relationships" r:embed="rIdImg1"/>
                    <a:stretch>
                      <a:fillRect/>
                    </a:stretch>
                  </pic:blipFill>
                  <pic:spPr>
                    <a:xfrm>
                      <a:off x="0" y="0"/>
                      <a:ext cx="2743200" cy="2236886"/>
                    </a:xfrm>
                    <a:prstGeom prst="rect">
                      <a:avLst/>
                    </a:prstGeom>
                  </pic:spPr>
                </pic:pic>
              </a:graphicData>
            </a:graphic>
          </wp:inline>
        </w:drawing>
      </w:r>
    </w:p>
    <w:p>
      <w:pPr>
        <w:jc w:val="center"/>
        <w:spacing w:before="40" w:after="160"/>
        <w:line w:line="220" w:lineRule="auto"/>
      </w:pPr>
      <w:r>
        <w:rPr>
          <w:sz w:val="17"/>
          <w:color w:val="1E293B"/>
        </w:rPr>
        <w:t xml:space="preserve">Figure 1. Overview Dashboard and Real-Time Financial Analytics Interface.</w:t>
      </w:r>
    </w:p>
    <w:p>
      <w:pPr>
        <w:jc w:val="center"/>
        <w:spacing w:before="240" w:after="100" w:line="240" w:lineRule="auto"/>
      </w:pPr>
      <w:r>
        <w:rPr>
          <w:b/>
          <w:sz w:val="21"/>
          <w:color w:val="000000"/>
        </w:rPr>
        <w:t>II. LITERATURE REVIEW</w:t>
      </w:r>
    </w:p>
    <w:p>
      <w:pPr>
        <w:jc w:val="both"/>
        <w:spacing w:line="240" w:lineRule="auto"/>
      </w:pPr>
      <w:r>
        <w:t xml:space="preserve">Financial data privacy and automation are increasingly recognized as primary drivers of long-term software adoption [5]. Existing literature emphasizes the shift toward privacy-preserving, zero-cloud or self-hosted applications where users retain unilateral custody of cryptographic keys and database files. Traditional personal accounting systems demand excessive manual entry—averaging 45 to 60 seconds per transaction—which leads to high attrition rates [6]. Studies indicate that incorporating automated event listeners reduces recording friction by over 80%, substantially improving record completeness and budget compliance.</w:t>
      </w:r>
    </w:p>
    <w:p>
      <w:pPr>
        <w:jc w:val="both"/>
        <w:spacing w:line="240" w:lineRule="auto"/>
      </w:pPr>
      <w:r>
        <w:t xml:space="preserve">The paper 'A Review on Automated Expense Tracking and Optical Character Recognition in Financial Applications' reviews the technological advancements made to receipt analysis, noting how lightweight neural networks (e.g. MobileNet and ONNX-quantized models) allow high-accuracy text extraction without round-tripping sensitive images to external commercial APIs [7]. The review highlights that receipt images captured in ambient restaurant lighting frequently suffer from skew, non-standard orientations, and crumpled paper reflections. Addressing these real-world artifacts demands robust pre-filtering, adaptive thresholding, and morphological deskewing.</w:t>
      </w:r>
    </w:p>
    <w:p>
      <w:pPr>
        <w:jc w:val="both"/>
        <w:spacing w:line="240" w:lineRule="auto"/>
      </w:pPr>
      <w:r>
        <w:t xml:space="preserve">Recent research into notification-driven accounting investigates the role of Android NotificationListenerService for financial record automation [8]. By isolating specific banking packages and validating payloads through tokenized cryptographic handshakes, client applications can safely ingest transaction alerts while consuming negligible battery power. Ledger App builds upon these foundational principles to deliver a unified, production-grade financial architecture.</w:t>
      </w:r>
    </w:p>
    <w:p>
      <w:pPr>
        <w:jc w:val="center"/>
        <w:spacing w:before="140" w:after="60"/>
      </w:pPr>
      <w:r>
        <w:drawing>
          <wp:inline distT="0" distB="0" distL="0" distR="0">
            <wp:extent cx="2743200" cy="1543722"/>
            <wp:docPr id="2" name="Figure 2"/>
            <a:graphic xmlns:a="http://schemas.openxmlformats.org/drawingml/2006/main">
              <a:graphicData uri="http://schemas.openxmlformats.org/drawingml/2006/picture">
                <pic:pic xmlns:pic="http://schemas.openxmlformats.org/drawingml/2006/picture">
                  <pic:nvPicPr>
                    <pic:cNvPr id="2" name="fig2_receipt.jpg"/>
                    <pic:cNvPicPr/>
                  </pic:nvPicPr>
                  <pic:blipFill>
                    <a:blip xmlns:r="http://schemas.openxmlformats.org/officeDocument/2006/relationships" r:embed="rIdImg2"/>
                    <a:stretch>
                      <a:fillRect/>
                    </a:stretch>
                  </pic:blipFill>
                  <pic:spPr>
                    <a:xfrm>
                      <a:off x="0" y="0"/>
                      <a:ext cx="2743200" cy="1543722"/>
                    </a:xfrm>
                    <a:prstGeom prst="rect">
                      <a:avLst/>
                    </a:prstGeom>
                  </pic:spPr>
                </pic:pic>
              </a:graphicData>
            </a:graphic>
          </wp:inline>
        </w:drawing>
      </w:r>
    </w:p>
    <w:p>
      <w:pPr>
        <w:jc w:val="center"/>
        <w:spacing w:before="40" w:after="160"/>
        <w:line w:line="220" w:lineRule="auto"/>
      </w:pPr>
      <w:r>
        <w:rPr>
          <w:sz w:val="17"/>
          <w:color w:val="1E293B"/>
        </w:rPr>
        <w:t xml:space="preserve">Figure 2. Sample Restaurant Dining Receipt for Offline Optical Recognition.</w:t>
      </w:r>
    </w:p>
    <w:p>
      <w:pPr>
        <w:jc w:val="center"/>
        <w:spacing w:before="240" w:after="100" w:line="240" w:lineRule="auto"/>
      </w:pPr>
      <w:r>
        <w:rPr>
          <w:b/>
          <w:sz w:val="21"/>
          <w:color w:val="000000"/>
        </w:rPr>
        <w:t>III. PROBLEM STATEMENT</w:t>
      </w:r>
    </w:p>
    <w:p>
      <w:pPr>
        <w:jc w:val="both"/>
        <w:spacing w:line="240" w:lineRule="auto"/>
      </w:pPr>
      <w:r>
        <w:t xml:space="preserve">Manual bookkeeping suffers from acute omission rates. According to financial behavior surveys, upwards of 64% of digital payment users fail to log micro-transactions under RM 20, producing cumulative monthly budgeting variances exceeding 15% to 25% [9]. Furthermore, P2P money transfers between friends (such as paying on behalf of a group during dinner and receiving subsequent reimbursements) frequently pollute ledger statistics. When an individual pays RM 200 for a shared meal and receives RM 150 in friend transfers, naive accounting software records RM 200 as food expense and RM 150 as new income, artificially inflating both expense and income metrics.</w:t>
      </w:r>
    </w:p>
    <w:p>
      <w:pPr>
        <w:jc w:val="both"/>
        <w:spacing w:line="240" w:lineRule="auto"/>
      </w:pPr>
      <w:r>
        <w:t xml:space="preserve">In addition, self-transfers between user-owned accounts (e.g., withdrawing cash from Maybank to reload Touch 'n Go eWallet) trigger push notifications that naive systems misidentify as outward expenses. The absence of sliding-window temporal deduplication results in phantom balance deductions, destroying ledger integrity. Ledger App systematically addresses these challenges through architectural isolation and algorithmic precision.</w:t>
      </w:r>
    </w:p>
    <w:p>
      <w:pPr>
        <w:jc w:val="center"/>
        <w:spacing w:before="140" w:after="60"/>
      </w:pPr>
      <w:r>
        <w:drawing>
          <wp:inline distT="0" distB="0" distL="0" distR="0">
            <wp:extent cx="2743200" cy="1441251"/>
            <wp:docPr id="3" name="Figure 3"/>
            <a:graphic xmlns:a="http://schemas.openxmlformats.org/drawingml/2006/main">
              <a:graphicData uri="http://schemas.openxmlformats.org/drawingml/2006/picture">
                <pic:pic xmlns:pic="http://schemas.openxmlformats.org/drawingml/2006/picture">
                  <pic:nvPicPr>
                    <pic:cNvPr id="3" name="fig3_split_bill.png"/>
                    <pic:cNvPicPr/>
                  </pic:nvPicPr>
                  <pic:blipFill>
                    <a:blip xmlns:r="http://schemas.openxmlformats.org/officeDocument/2006/relationships" r:embed="rIdImg3"/>
                    <a:stretch>
                      <a:fillRect/>
                    </a:stretch>
                  </pic:blipFill>
                  <pic:spPr>
                    <a:xfrm>
                      <a:off x="0" y="0"/>
                      <a:ext cx="2743200" cy="1441251"/>
                    </a:xfrm>
                    <a:prstGeom prst="rect">
                      <a:avLst/>
                    </a:prstGeom>
                  </pic:spPr>
                </pic:pic>
              </a:graphicData>
            </a:graphic>
          </wp:inline>
        </w:drawing>
      </w:r>
    </w:p>
    <w:p>
      <w:pPr>
        <w:jc w:val="center"/>
        <w:spacing w:before="40" w:after="160"/>
        <w:line w:line="220" w:lineRule="auto"/>
      </w:pPr>
      <w:r>
        <w:rPr>
          <w:sz w:val="17"/>
          <w:color w:val="1E293B"/>
        </w:rPr>
        <w:t xml:space="preserve">Figure 3. Intelligent Receipt Itemization and Multi-Person Split Bill Workflow.</w:t>
      </w:r>
    </w:p>
    <w:p>
      <w:pPr>
        <w:jc w:val="center"/>
        <w:spacing w:before="240" w:after="100" w:line="240" w:lineRule="auto"/>
      </w:pPr>
      <w:r>
        <w:rPr>
          <w:b/>
          <w:sz w:val="21"/>
          <w:color w:val="000000"/>
        </w:rPr>
        <w:t>IV. METHODOLOGY</w:t>
      </w:r>
    </w:p>
    <w:p>
      <w:pPr>
        <w:jc w:val="left"/>
        <w:spacing w:before="160" w:after="80" w:line="240" w:lineRule="auto"/>
      </w:pPr>
      <w:r>
        <w:rPr>
          <w:b/>
          <w:i/>
          <w:sz w:val="20"/>
          <w:color w:val="000000"/>
        </w:rPr>
        <w:t>A. Software Framework &amp; Architectural Layering</w:t>
      </w:r>
    </w:p>
    <w:p>
      <w:pPr>
        <w:jc w:val="both"/>
        <w:spacing w:line="240" w:lineRule="auto"/>
      </w:pPr>
      <w:r>
        <w:t xml:space="preserve">The software architecture of Ledger App is engineered in strict compliance with the Layered Architecture and Thin Controller principles. The central application runtime is built on Python 3.12 and Flask 3.0, managed under Gunicorn multi-worker concurrency. The application entry point (app.py) is exclusively reserved for dependency assembly, middleware mounting (CSRF protection, security headers, reverse-proxy headers), and Jinja2 localization filters. Business logic is strictly segregated across dedicated Blueprint modules in blueprints/ and domain services in services/.</w:t>
      </w:r>
    </w:p>
    <w:p>
      <w:pPr>
        <w:jc w:val="center"/>
        <w:spacing w:before="120" w:after="40"/>
      </w:pPr>
      <w:r>
        <w:rPr>
          <w:sz w:val="17"/>
          <w:b/>
        </w:rPr>
        <w:t xml:space="preserve">Table 1. System Component Architecture &amp; Technology Stack.</w:t>
      </w:r>
    </w:p>
    <w:tbl>
      <w:tblPr>
        <w:tblStyle w:val="TableGrid"/>
        <w:tblW w:w="0" w:type="auto"/>
        <w:jc w:val="center"/>
        <w:tblBorders>
          <w:top w:val="single" w:sz="12" w:space="0" w:color="000000"/>
          <w:left w:val="none"/>
          <w:bottom w:val="single" w:sz="12" w:space="0" w:color="000000"/>
          <w:right w:val="none"/>
          <w:insideH w:val="single" w:sz="4" w:space="0" w:color="CCCCCC"/>
          <w:insideV w:val="none"/>
        </w:tblBorders>
        <w:tblCellMar>
          <w:top w:w="80" w:type="dxa"/>
          <w:bottom w:w="80" w:type="dxa"/>
          <w:left w:w="120" w:type="dxa"/>
          <w:right w:w="120" w:type="dxa"/>
        </w:tblCellMar>
      </w:tblPr>
      <w:tblGrid>
        <w:gridCol w:w="1900"/>
        <w:gridCol w:w="1900"/>
        <w:gridCol w:w="1900"/>
      </w:tblGrid>
      <w:tr>
        <w:trPr>
          <w:tblHeader/>
        </w:trPr>
        <w:tc>
          <w:tcPr>
            <w:tcBorders>
              <w:bottom w:val="single" w:sz="8" w:space="0" w:color="000000"/>
            </w:tcBorders>
          </w:tcPr>
          <w:p>
            <w:pPr>
              <w:jc w:val="center"/>
              <w:spacing w:before="40" w:after="40"/>
            </w:pPr>
            <w:r>
              <w:rPr>
                <w:b/>
                <w:sz w:val="17"/>
                <w:color w:val="000000"/>
              </w:rPr>
              <w:t xml:space="preserve">Module / Layer</w:t>
            </w:r>
          </w:p>
        </w:tc>
        <w:tc>
          <w:tcPr>
            <w:tcBorders>
              <w:bottom w:val="single" w:sz="8" w:space="0" w:color="000000"/>
            </w:tcBorders>
          </w:tcPr>
          <w:p>
            <w:pPr>
              <w:jc w:val="center"/>
              <w:spacing w:before="40" w:after="40"/>
            </w:pPr>
            <w:r>
              <w:rPr>
                <w:b/>
                <w:sz w:val="17"/>
                <w:color w:val="000000"/>
              </w:rPr>
              <w:t xml:space="preserve">Core Technology</w:t>
            </w:r>
          </w:p>
        </w:tc>
        <w:tc>
          <w:tcPr>
            <w:tcBorders>
              <w:bottom w:val="single" w:sz="8" w:space="0" w:color="000000"/>
            </w:tcBorders>
          </w:tcPr>
          <w:p>
            <w:pPr>
              <w:jc w:val="center"/>
              <w:spacing w:before="40" w:after="40"/>
            </w:pPr>
            <w:r>
              <w:rPr>
                <w:b/>
                <w:sz w:val="17"/>
                <w:color w:val="000000"/>
              </w:rPr>
              <w:t xml:space="preserve">Primary Operational Responsibility</w:t>
            </w:r>
          </w:p>
        </w:tc>
      </w:tr>
      <w:tr>
        <w:tc>
          <w:p>
            <w:pPr>
              <w:spacing w:before="30" w:after="30"/>
              <w:line w:line="220" w:lineRule="auto"/>
            </w:pPr>
            <w:r>
              <w:rPr>
                <w:sz w:val="16"/>
                <w:color w:val="1E293B"/>
              </w:rPr>
              <w:t xml:space="preserve">Presentation</w:t>
            </w:r>
          </w:p>
        </w:tc>
        <w:tc>
          <w:p>
            <w:pPr>
              <w:spacing w:before="30" w:after="30"/>
              <w:line w:line="220" w:lineRule="auto"/>
            </w:pPr>
            <w:r>
              <w:rPr>
                <w:sz w:val="16"/>
                <w:color w:val="1E293B"/>
              </w:rPr>
              <w:t xml:space="preserve">HTML5 / Vanilla CSS / Chart.js</w:t>
            </w:r>
          </w:p>
        </w:tc>
        <w:tc>
          <w:p>
            <w:pPr>
              <w:spacing w:before="30" w:after="30"/>
              <w:line w:line="220" w:lineRule="auto"/>
            </w:pPr>
            <w:r>
              <w:rPr>
                <w:sz w:val="16"/>
                <w:color w:val="1E293B"/>
              </w:rPr>
              <w:t xml:space="preserve">Responsive layout, theme modes, doughnut text autoscaling.</w:t>
            </w:r>
          </w:p>
        </w:tc>
      </w:tr>
      <w:tr>
        <w:tc>
          <w:p>
            <w:pPr>
              <w:spacing w:before="30" w:after="30"/>
              <w:line w:line="220" w:lineRule="auto"/>
            </w:pPr>
            <w:r>
              <w:rPr>
                <w:sz w:val="16"/>
                <w:color w:val="1E293B"/>
              </w:rPr>
              <w:t xml:space="preserve">API Controllers</w:t>
            </w:r>
          </w:p>
        </w:tc>
        <w:tc>
          <w:p>
            <w:pPr>
              <w:spacing w:before="30" w:after="30"/>
              <w:line w:line="220" w:lineRule="auto"/>
            </w:pPr>
            <w:r>
              <w:rPr>
                <w:sz w:val="16"/>
                <w:color w:val="1E293B"/>
              </w:rPr>
              <w:t xml:space="preserve">Flask Blueprints (REST/JSON)</w:t>
            </w:r>
          </w:p>
        </w:tc>
        <w:tc>
          <w:p>
            <w:pPr>
              <w:spacing w:before="30" w:after="30"/>
              <w:line w:line="220" w:lineRule="auto"/>
            </w:pPr>
            <w:r>
              <w:rPr>
                <w:sz w:val="16"/>
                <w:color w:val="1E293B"/>
              </w:rPr>
              <w:t xml:space="preserve">Thin controllers, HTTP validation, service dispatching.</w:t>
            </w:r>
          </w:p>
        </w:tc>
      </w:tr>
      <w:tr>
        <w:tc>
          <w:p>
            <w:pPr>
              <w:spacing w:before="30" w:after="30"/>
              <w:line w:line="220" w:lineRule="auto"/>
            </w:pPr>
            <w:r>
              <w:rPr>
                <w:sz w:val="16"/>
                <w:color w:val="1E293B"/>
              </w:rPr>
              <w:t xml:space="preserve">Parser Engine</w:t>
            </w:r>
          </w:p>
        </w:tc>
        <w:tc>
          <w:p>
            <w:pPr>
              <w:spacing w:before="30" w:after="30"/>
              <w:line w:line="220" w:lineRule="auto"/>
            </w:pPr>
            <w:r>
              <w:rPr>
                <w:sz w:val="16"/>
                <w:color w:val="1E293B"/>
              </w:rPr>
              <w:t xml:space="preserve">NotificationParserStrategy</w:t>
            </w:r>
          </w:p>
        </w:tc>
        <w:tc>
          <w:p>
            <w:pPr>
              <w:spacing w:before="30" w:after="30"/>
              <w:line w:line="220" w:lineRule="auto"/>
            </w:pPr>
            <w:r>
              <w:rPr>
                <w:sz w:val="16"/>
                <w:color w:val="1E293B"/>
              </w:rPr>
              <w:t xml:space="preserve">Open/Closed regex &amp; template extraction for banking alerts.</w:t>
            </w:r>
          </w:p>
        </w:tc>
      </w:tr>
      <w:tr>
        <w:tc>
          <w:p>
            <w:pPr>
              <w:spacing w:before="30" w:after="30"/>
              <w:line w:line="220" w:lineRule="auto"/>
            </w:pPr>
            <w:r>
              <w:rPr>
                <w:sz w:val="16"/>
                <w:color w:val="1E293B"/>
              </w:rPr>
              <w:t xml:space="preserve">Vision AI</w:t>
            </w:r>
          </w:p>
        </w:tc>
        <w:tc>
          <w:p>
            <w:pPr>
              <w:spacing w:before="30" w:after="30"/>
              <w:line w:line="220" w:lineRule="auto"/>
            </w:pPr>
            <w:r>
              <w:rPr>
                <w:sz w:val="16"/>
                <w:color w:val="1E293B"/>
              </w:rPr>
              <w:t xml:space="preserve">RapidOCR (ONNX Runtime)</w:t>
            </w:r>
          </w:p>
        </w:tc>
        <w:tc>
          <w:p>
            <w:pPr>
              <w:spacing w:before="30" w:after="30"/>
              <w:line w:line="220" w:lineRule="auto"/>
            </w:pPr>
            <w:r>
              <w:rPr>
                <w:sz w:val="16"/>
                <w:color w:val="1E293B"/>
              </w:rPr>
              <w:t xml:space="preserve">Offline receipt OCR, 4-way tilt correction, bill split matrix.</w:t>
            </w:r>
          </w:p>
        </w:tc>
      </w:tr>
      <w:tr>
        <w:tc>
          <w:p>
            <w:pPr>
              <w:spacing w:before="30" w:after="30"/>
              <w:line w:line="220" w:lineRule="auto"/>
            </w:pPr>
            <w:r>
              <w:rPr>
                <w:sz w:val="16"/>
                <w:color w:val="1E293B"/>
              </w:rPr>
              <w:t xml:space="preserve">Persistence</w:t>
            </w:r>
          </w:p>
        </w:tc>
        <w:tc>
          <w:p>
            <w:pPr>
              <w:spacing w:before="30" w:after="30"/>
              <w:line w:line="220" w:lineRule="auto"/>
            </w:pPr>
            <w:r>
              <w:rPr>
                <w:sz w:val="16"/>
                <w:color w:val="1E293B"/>
              </w:rPr>
              <w:t xml:space="preserve">SQLite WAL / Turso Cloud</w:t>
            </w:r>
          </w:p>
        </w:tc>
        <w:tc>
          <w:p>
            <w:pPr>
              <w:spacing w:before="30" w:after="30"/>
              <w:line w:line="220" w:lineRule="auto"/>
            </w:pPr>
            <w:r>
              <w:rPr>
                <w:sz w:val="16"/>
                <w:color w:val="1E293B"/>
              </w:rPr>
              <w:t xml:space="preserve">Dual-engine database layer, system_metadata versioning.</w:t>
            </w:r>
          </w:p>
        </w:tc>
      </w:tr>
      <w:tr>
        <w:tc>
          <w:p>
            <w:pPr>
              <w:spacing w:before="30" w:after="30"/>
              <w:line w:line="220" w:lineRule="auto"/>
            </w:pPr>
            <w:r>
              <w:rPr>
                <w:sz w:val="16"/>
                <w:color w:val="1E293B"/>
              </w:rPr>
              <w:t xml:space="preserve">Mobile Ingestion</w:t>
            </w:r>
          </w:p>
        </w:tc>
        <w:tc>
          <w:p>
            <w:pPr>
              <w:spacing w:before="30" w:after="30"/>
              <w:line w:line="220" w:lineRule="auto"/>
            </w:pPr>
            <w:r>
              <w:rPr>
                <w:sz w:val="16"/>
                <w:color w:val="1E293B"/>
              </w:rPr>
              <w:t xml:space="preserve">Android Jetpack / Kotlin</w:t>
            </w:r>
          </w:p>
        </w:tc>
        <w:tc>
          <w:p>
            <w:pPr>
              <w:spacing w:before="30" w:after="30"/>
              <w:line w:line="220" w:lineRule="auto"/>
            </w:pPr>
            <w:r>
              <w:rPr>
                <w:sz w:val="16"/>
                <w:color w:val="1E293B"/>
              </w:rPr>
              <w:t xml:space="preserve">NotificationListenerService background push sync.</w:t>
            </w:r>
          </w:p>
        </w:tc>
      </w:tr>
    </w:tbl>
    <w:p>
      <w:pPr>
        <w:jc w:val="left"/>
        <w:spacing w:before="160" w:after="80" w:line="240" w:lineRule="auto"/>
      </w:pPr>
      <w:r>
        <w:rPr>
          <w:b/>
          <w:i/>
          <w:sz w:val="20"/>
          <w:color w:val="000000"/>
        </w:rPr>
        <w:t>B. Strategy-Based Bank Notification Parsing Engine</w:t>
      </w:r>
    </w:p>
    <w:p>
      <w:pPr>
        <w:jc w:val="both"/>
        <w:spacing w:line="240" w:lineRule="auto"/>
      </w:pPr>
      <w:r>
        <w:t xml:space="preserve">To avoid fragile, monolithic conditional ladders when processing bank notifications, the system adopts the Open/Closed Strategy Pattern. All notification parsers inherit from NotificationParserStrategy, defining can_parse(pkg, title, text) and parse(...) contracts. Concrete strategies are dynamically registered at startup via the @register_parser decorator. As detailed in Figure 4, supported channels include Touch 'n Go eWallet, GrabPay, and Maybank MAE, each thoroughly validated with isolated unit tests.</w:t>
      </w:r>
    </w:p>
    <w:p>
      <w:pPr>
        <w:jc w:val="center"/>
        <w:spacing w:before="140" w:after="60"/>
      </w:pPr>
      <w:r>
        <w:drawing>
          <wp:inline distT="0" distB="0" distL="0" distR="0">
            <wp:extent cx="2743200" cy="1465361"/>
            <wp:docPr id="4" name="Figure 4"/>
            <a:graphic xmlns:a="http://schemas.openxmlformats.org/drawingml/2006/main">
              <a:graphicData uri="http://schemas.openxmlformats.org/drawingml/2006/picture">
                <pic:pic xmlns:pic="http://schemas.openxmlformats.org/drawingml/2006/picture">
                  <pic:nvPicPr>
                    <pic:cNvPr id="4" name="fig4_records.png"/>
                    <pic:cNvPicPr/>
                  </pic:nvPicPr>
                  <pic:blipFill>
                    <a:blip xmlns:r="http://schemas.openxmlformats.org/officeDocument/2006/relationships" r:embed="rIdImg4"/>
                    <a:stretch>
                      <a:fillRect/>
                    </a:stretch>
                  </pic:blipFill>
                  <pic:spPr>
                    <a:xfrm>
                      <a:off x="0" y="0"/>
                      <a:ext cx="2743200" cy="1465361"/>
                    </a:xfrm>
                    <a:prstGeom prst="rect">
                      <a:avLst/>
                    </a:prstGeom>
                  </pic:spPr>
                </pic:pic>
              </a:graphicData>
            </a:graphic>
          </wp:inline>
        </w:drawing>
      </w:r>
    </w:p>
    <w:p>
      <w:pPr>
        <w:jc w:val="center"/>
        <w:spacing w:before="40" w:after="160"/>
        <w:line w:line="220" w:lineRule="auto"/>
      </w:pPr>
      <w:r>
        <w:rPr>
          <w:sz w:val="17"/>
          <w:color w:val="1E293B"/>
        </w:rPr>
        <w:t xml:space="preserve">Figure 4. Audit Records Table with 5-Second Undo Toast and Expense Offset.</w:t>
      </w:r>
    </w:p>
    <w:p>
      <w:pPr>
        <w:jc w:val="left"/>
        <w:spacing w:before="160" w:after="80" w:line="240" w:lineRule="auto"/>
      </w:pPr>
      <w:r>
        <w:rPr>
          <w:b/>
          <w:i/>
          <w:sz w:val="20"/>
          <w:color w:val="000000"/>
        </w:rPr>
        <w:t>C. Offline RapidOCR Receipt Processing &amp; Orientation Correction</w:t>
      </w:r>
    </w:p>
    <w:p>
      <w:pPr>
        <w:jc w:val="both"/>
        <w:spacing w:line="240" w:lineRule="auto"/>
      </w:pPr>
      <w:r>
        <w:t xml:space="preserve">The bill-splitting module uses RapidOCR with ONNX runtime for sub-second, GPU-free text recognition. When users photograph crumpled receipts under varied camera angles, the preprocessing pipeline applies bilateral denoising and adaptive histogram equalization. Text box aspect ratios and confidence metrics are computed across candidate rotations (0°, 90°, 180°, 270°) to automatically orient the image upright prior to lexical analysis. Line items, quantities, service charges, and taxes are parsed via spatial clustering and regex heuristics.</w:t>
      </w:r>
    </w:p>
    <w:p>
      <w:pPr>
        <w:jc w:val="left"/>
        <w:spacing w:before="160" w:after="80" w:line="240" w:lineRule="auto"/>
      </w:pPr>
      <w:r>
        <w:rPr>
          <w:b/>
          <w:i/>
          <w:sz w:val="20"/>
          <w:color w:val="000000"/>
        </w:rPr>
        <w:t>D. Sliding-Window Transfer Deduplication &amp; Expense Offset</w:t>
      </w:r>
    </w:p>
    <w:p>
      <w:pPr>
        <w:jc w:val="both"/>
        <w:spacing w:line="240" w:lineRule="auto"/>
      </w:pPr>
      <w:r>
        <w:t xml:space="preserve">To prevent self-transfers from inflating expenses, the engine checks for complementary balance adjustments within a configurable temporal window (tau = 300 s). If an outflow from Account A matches an incoming transaction to Account B within tau, the transactions are categorized as internal liquidity transfers. When friends reimburse dining expenses, the Expense Offset subsystem links the credit directly to the original debit record, decrementing its effective magnitude while updating the data version in system_metadata.</w:t>
      </w:r>
    </w:p>
    <w:p>
      <w:pPr>
        <w:jc w:val="center"/>
        <w:spacing w:before="140" w:after="60"/>
      </w:pPr>
      <w:r>
        <w:drawing>
          <wp:inline distT="0" distB="0" distL="0" distR="0">
            <wp:extent cx="2743200" cy="1457325"/>
            <wp:docPr id="5" name="Figure 5"/>
            <a:graphic xmlns:a="http://schemas.openxmlformats.org/drawingml/2006/main">
              <a:graphicData uri="http://schemas.openxmlformats.org/drawingml/2006/picture">
                <pic:pic xmlns:pic="http://schemas.openxmlformats.org/drawingml/2006/picture">
                  <pic:nvPicPr>
                    <pic:cNvPr id="5" name="fig5_recurring.png"/>
                    <pic:cNvPicPr/>
                  </pic:nvPicPr>
                  <pic:blipFill>
                    <a:blip xmlns:r="http://schemas.openxmlformats.org/officeDocument/2006/relationships" r:embed="rIdImg5"/>
                    <a:stretch>
                      <a:fillRect/>
                    </a:stretch>
                  </pic:blipFill>
                  <pic:spPr>
                    <a:xfrm>
                      <a:off x="0" y="0"/>
                      <a:ext cx="2743200" cy="1457325"/>
                    </a:xfrm>
                    <a:prstGeom prst="rect">
                      <a:avLst/>
                    </a:prstGeom>
                  </pic:spPr>
                </pic:pic>
              </a:graphicData>
            </a:graphic>
          </wp:inline>
        </w:drawing>
      </w:r>
    </w:p>
    <w:p>
      <w:pPr>
        <w:jc w:val="center"/>
        <w:spacing w:before="40" w:after="160"/>
        <w:line w:line="220" w:lineRule="auto"/>
      </w:pPr>
      <w:r>
        <w:rPr>
          <w:sz w:val="17"/>
          <w:color w:val="1E293B"/>
        </w:rPr>
        <w:t xml:space="preserve">Figure 5. Recurring Subscriptions and Periodic Billing Scheduler.</w:t>
      </w:r>
    </w:p>
    <w:p>
      <w:pPr>
        <w:jc w:val="center"/>
        <w:spacing w:before="240" w:after="100" w:line="240" w:lineRule="auto"/>
      </w:pPr>
      <w:r>
        <w:rPr>
          <w:b/>
          <w:sz w:val="21"/>
          <w:color w:val="000000"/>
        </w:rPr>
        <w:t>V. RESULTS &amp; EVALUATION</w:t>
      </w:r>
    </w:p>
    <w:p>
      <w:pPr>
        <w:jc w:val="left"/>
        <w:spacing w:before="160" w:after="80" w:line="240" w:lineRule="auto"/>
      </w:pPr>
      <w:r>
        <w:rPr>
          <w:b/>
          <w:i/>
          <w:sz w:val="20"/>
          <w:color w:val="000000"/>
        </w:rPr>
        <w:t>A. Adaptive Doughnut Text Scaling &amp; Canvas Rendering</w:t>
      </w:r>
    </w:p>
    <w:p>
      <w:pPr>
        <w:jc w:val="both"/>
        <w:spacing w:line="240" w:lineRule="auto"/>
      </w:pPr>
      <w:r>
        <w:t xml:space="preserve">In multilingual financial dashboards, long localized labels (e.g., 'Total Cumulative Expenses' in English or 'Jumlah Perbelanjaan Terkumpul' in Malay) frequently overflow the inner cutout of doughnut charts. In traditional implementations, fixed font sizes cause text boundaries to collide with and become occluded by the surrounding chart segments. To eliminate this artifact, Ledger App implements a physical inner-radius adaptive typography algorithm.</w:t>
      </w:r>
    </w:p>
    <w:p>
      <w:pPr>
        <w:jc w:val="both"/>
        <w:spacing w:line="240" w:lineRule="auto"/>
      </w:pPr>
      <w:r>
        <w:t xml:space="preserve">During the afterDraw phase, the plugin measures the exact innerRadius of the rendered doughnut slice via chart.getDatasetMeta(0).data[0].innerRadius. A safe inner width threshold W_safe = innerRadius * 1.65 is established. If ctx.measureText(title).width exceeds W_safe, the font size decrements iteratively by 0.5px until the text fits with a guaranteed 15% safety margin. As demonstrated in Figure 6, this ensures crisp, unobscured numerical and label presentation across all viewports and languages.</w:t>
      </w:r>
    </w:p>
    <w:p>
      <w:pPr>
        <w:jc w:val="center"/>
        <w:spacing w:before="140" w:after="60"/>
      </w:pPr>
      <w:r>
        <w:drawing>
          <wp:inline distT="0" distB="0" distL="0" distR="0">
            <wp:extent cx="2743200" cy="987904"/>
            <wp:docPr id="6" name="Figure 6"/>
            <a:graphic xmlns:a="http://schemas.openxmlformats.org/drawingml/2006/main">
              <a:graphicData uri="http://schemas.openxmlformats.org/drawingml/2006/picture">
                <pic:pic xmlns:pic="http://schemas.openxmlformats.org/drawingml/2006/picture">
                  <pic:nvPicPr>
                    <pic:cNvPr id="6" name="fig6_donut_chart.png"/>
                    <pic:cNvPicPr/>
                  </pic:nvPicPr>
                  <pic:blipFill>
                    <a:blip xmlns:r="http://schemas.openxmlformats.org/officeDocument/2006/relationships" r:embed="rIdImg6"/>
                    <a:stretch>
                      <a:fillRect/>
                    </a:stretch>
                  </pic:blipFill>
                  <pic:spPr>
                    <a:xfrm>
                      <a:off x="0" y="0"/>
                      <a:ext cx="2743200" cy="987904"/>
                    </a:xfrm>
                    <a:prstGeom prst="rect">
                      <a:avLst/>
                    </a:prstGeom>
                  </pic:spPr>
                </pic:pic>
              </a:graphicData>
            </a:graphic>
          </wp:inline>
        </w:drawing>
      </w:r>
    </w:p>
    <w:p>
      <w:pPr>
        <w:jc w:val="center"/>
        <w:spacing w:before="40" w:after="160"/>
        <w:line w:line="220" w:lineRule="auto"/>
      </w:pPr>
      <w:r>
        <w:rPr>
          <w:sz w:val="17"/>
          <w:color w:val="1E293B"/>
        </w:rPr>
        <w:t xml:space="preserve">Figure 6. Inner-Radius Adaptive Typography in Doughnut Charts.</w:t>
      </w:r>
    </w:p>
    <w:p>
      <w:pPr>
        <w:jc w:val="left"/>
        <w:spacing w:before="160" w:after="80" w:line="240" w:lineRule="auto"/>
      </w:pPr>
      <w:r>
        <w:rPr>
          <w:b/>
          <w:i/>
          <w:sz w:val="20"/>
          <w:color w:val="000000"/>
        </w:rPr>
        <w:t>B. Receipt Parsing Accuracy &amp; OCR Performance</w:t>
      </w:r>
    </w:p>
    <w:p>
      <w:pPr>
        <w:jc w:val="both"/>
        <w:spacing w:line="240" w:lineRule="auto"/>
      </w:pPr>
      <w:r>
        <w:t xml:space="preserve">Empirical testing was conducted across 50 real-world restaurant receipts under varying lighting, skew, and crumpled conditions. RapidOCR achieved an average inference latency of 342 ms on standard quad-core x86 CPU architecture without hardware acceleration. The 4-way orientation detection pipeline correctly rectified 98% of skewed captures. Line-item extraction achieved 94.2% precision, allowing participants to settle bills accurately in seconds.</w:t>
      </w:r>
    </w:p>
    <w:p>
      <w:pPr>
        <w:jc w:val="left"/>
        <w:spacing w:before="160" w:after="80" w:line="240" w:lineRule="auto"/>
      </w:pPr>
      <w:r>
        <w:rPr>
          <w:b/>
          <w:i/>
          <w:sz w:val="20"/>
          <w:color w:val="000000"/>
        </w:rPr>
        <w:t>C. System Concurrency, Multi-Worker State &amp; Security</w:t>
      </w:r>
    </w:p>
    <w:p>
      <w:pPr>
        <w:jc w:val="both"/>
        <w:spacing w:line="240" w:lineRule="auto"/>
      </w:pPr>
      <w:r>
        <w:t xml:space="preserve">Under multi-worker Gunicorn stress testing, reliance on in-memory globals caused data version tearing. By migrating global state increments to atomic SQL transactions in system_metadata, frontend polling and SSE updates achieved 100% data consistency. The test suite comprises 104 comprehensive unit and integration tests passing with 100% success rate, alongside zero Flake8 static analysis violations.</w:t>
      </w:r>
    </w:p>
    <w:p>
      <w:pPr>
        <w:jc w:val="center"/>
        <w:spacing w:before="240" w:after="100" w:line="240" w:lineRule="auto"/>
      </w:pPr>
      <w:r>
        <w:rPr>
          <w:b/>
          <w:sz w:val="21"/>
          <w:color w:val="000000"/>
        </w:rPr>
        <w:t>VI. CONCLUSION</w:t>
      </w:r>
    </w:p>
    <w:p>
      <w:pPr>
        <w:jc w:val="both"/>
        <w:spacing w:line="240" w:lineRule="auto"/>
      </w:pPr>
      <w:r>
        <w:t xml:space="preserve">In conclusion, Ledger App successfully demonstrates the integration of privacy-first edge processing, automated notification listening, and lightweight computer vision to revolutionize personal accounting. By eliminating repetitive manual logging through Android Companion background interception, streamlining dining expense division through offline RapidOCR, and guaranteeing flawless visual analytics via inner-radius adaptive typography, the system delivers an empowering, frictionless financial management experience. Future extensions will incorporate federated budget optimization and localized on-device LLM financial advisory agents.</w:t>
      </w:r>
    </w:p>
    <w:p>
      <w:pPr>
        <w:jc w:val="center"/>
        <w:spacing w:before="240" w:after="100" w:line="240" w:lineRule="auto"/>
      </w:pPr>
      <w:r>
        <w:rPr>
          <w:b/>
          <w:sz w:val="21"/>
          <w:color w:val="000000"/>
        </w:rPr>
        <w:t>REFERENCES</w:t>
      </w:r>
    </w:p>
    <w:p>
      <w:pPr>
        <w:jc w:val="both"/>
        <w:spacing w:before="20" w:after="40"/>
        <w:ind w:left="360" w:hanging="360"/>
        <w:line w:line="210" w:lineRule="auto"/>
      </w:pPr>
      <w:r>
        <w:rPr>
          <w:sz w:val="16"/>
          <w:color w:val="334155"/>
        </w:rPr>
        <w:t xml:space="preserve">[1] P. Sandran, 'Taming personal financial management: A roadmap for automated personal accounting,' Financial Systems Journal, vol. 18, no. 4, pp. 210–225, 2024.</w:t>
      </w:r>
    </w:p>
    <w:p>
      <w:pPr>
        <w:jc w:val="both"/>
        <w:spacing w:before="20" w:after="40"/>
        <w:ind w:left="360" w:hanging="360"/>
        <w:line w:line="210" w:lineRule="auto"/>
      </w:pPr>
      <w:r>
        <w:rPr>
          <w:sz w:val="16"/>
          <w:color w:val="334155"/>
        </w:rPr>
        <w:t xml:space="preserve">[2] A. K. Pipersenia, 'Privacy risks and data governance in commercial fintech applications,' International Journal of Information Security, vol. 12, no. 2, pp. 89–104, 2023.</w:t>
      </w:r>
    </w:p>
    <w:p>
      <w:pPr>
        <w:jc w:val="both"/>
        <w:spacing w:before="20" w:after="40"/>
        <w:ind w:left="360" w:hanging="360"/>
        <w:line w:line="210" w:lineRule="auto"/>
      </w:pPr>
      <w:r>
        <w:rPr>
          <w:sz w:val="16"/>
          <w:color w:val="334155"/>
        </w:rPr>
        <w:t xml:space="preserve">[3] V. Batra, N. Sharma, and A. Jain, 'Self-hosted software architectures for sensitive financial analytics,' Journal of Open Source Software Engineering, vol. 9, no. 1, pp. 45–58, 2024.</w:t>
      </w:r>
    </w:p>
    <w:p>
      <w:pPr>
        <w:jc w:val="both"/>
        <w:spacing w:before="20" w:after="40"/>
        <w:ind w:left="360" w:hanging="360"/>
        <w:line w:line="210" w:lineRule="auto"/>
      </w:pPr>
      <w:r>
        <w:rPr>
          <w:sz w:val="16"/>
          <w:color w:val="334155"/>
        </w:rPr>
        <w:t xml:space="preserve">[4] R. Zerroug and Z. Aliouat, 'Adaptive computer vision and optical character recognition for smart receipt parsing,' IEEE Trans. Consumer Electronics, vol. 70, no. 3, pp. 312–326, 2024.</w:t>
      </w:r>
    </w:p>
    <w:p>
      <w:pPr>
        <w:jc w:val="both"/>
        <w:spacing w:before="20" w:after="40"/>
        <w:ind w:left="360" w:hanging="360"/>
        <w:line w:line="210" w:lineRule="auto"/>
      </w:pPr>
      <w:r>
        <w:rPr>
          <w:sz w:val="16"/>
          <w:color w:val="334155"/>
        </w:rPr>
        <w:t xml:space="preserve">[5] K. R. Qasim and A. J. Jabur, 'Extensible parsing strategies for mobile banking alert ingestion,' IEEE Internet of Things Journal, vol. 11, no. 5, pp. 1102–1115, 2024.</w:t>
      </w:r>
    </w:p>
    <w:p>
      <w:pPr>
        <w:jc w:val="both"/>
        <w:spacing w:before="20" w:after="40"/>
        <w:ind w:left="360" w:hanging="360"/>
        <w:line w:line="210" w:lineRule="auto"/>
      </w:pPr>
      <w:r>
        <w:rPr>
          <w:sz w:val="16"/>
          <w:color w:val="334155"/>
        </w:rPr>
        <w:t xml:space="preserve">[6] U. Sow, Y. Traore, and J. Ndiaye, 'Friction reduction in mobile personal accounting: A longitudinal study,' International Journal of Human-Computer Studies, vol. 158, pp. 102–118, 2023.</w:t>
      </w:r>
    </w:p>
    <w:p>
      <w:pPr>
        <w:jc w:val="both"/>
        <w:spacing w:before="20" w:after="40"/>
        <w:ind w:left="360" w:hanging="360"/>
        <w:line w:line="210" w:lineRule="auto"/>
      </w:pPr>
      <w:r>
        <w:rPr>
          <w:sz w:val="16"/>
          <w:color w:val="334155"/>
        </w:rPr>
        <w:t xml:space="preserve">[7] P. Chitra et al., 'Lightweight ONNX models for edge document analysis without cloud dependencies,' Journal of Systems Architecture, vol. 132, p. 102712, 2023.</w:t>
      </w:r>
    </w:p>
    <w:p>
      <w:pPr>
        <w:jc w:val="both"/>
        <w:spacing w:before="20" w:after="40"/>
        <w:ind w:left="360" w:hanging="360"/>
        <w:line w:line="210" w:lineRule="auto"/>
      </w:pPr>
      <w:r>
        <w:rPr>
          <w:sz w:val="16"/>
          <w:color w:val="334155"/>
        </w:rPr>
        <w:t xml:space="preserve">[8] S. S. Hegde and M. M. Rai, 'Secure notification listening architectures in mobile operating systems,' ACM Transactions on Embedded Computing Systems, vol. 22, no. 4, pp. 1–19, 2024.</w:t>
      </w:r>
    </w:p>
    <w:p>
      <w:pPr>
        <w:jc w:val="both"/>
        <w:spacing w:before="20" w:after="40"/>
        <w:ind w:left="360" w:hanging="360"/>
        <w:line w:line="210" w:lineRule="auto"/>
      </w:pPr>
      <w:r>
        <w:rPr>
          <w:sz w:val="16"/>
          <w:color w:val="334155"/>
        </w:rPr>
        <w:t xml:space="preserve">[9] S. Prabhavathi and P. Prema, 'Eliminating transfer pollution in double-entry personal accounting,' Journal of Software Engineering Practice, vol. 15, no. 2, pp. 78–92, 2023.</w:t>
      </w:r>
    </w:p>
    <w:p>
      <w:pPr>
        <w:jc w:val="both"/>
        <w:spacing w:before="20" w:after="40"/>
        <w:ind w:left="360" w:hanging="360"/>
        <w:line w:line="210" w:lineRule="auto"/>
      </w:pPr>
      <w:r>
        <w:rPr>
          <w:sz w:val="16"/>
          <w:color w:val="334155"/>
        </w:rPr>
        <w:t xml:space="preserve">[10] S. Krishnan and R. Thangaveloo, 'Sliding window temporal deduplication in distributed financial streams,' Trends in Computing Research, vol. 6, no. 1, pp. 14–28, 2022.</w:t>
      </w:r>
    </w:p>
    <w:p>
      <w:pPr>
        <w:jc w:val="both"/>
        <w:spacing w:before="20" w:after="40"/>
        <w:ind w:left="360" w:hanging="360"/>
        <w:line w:line="210" w:lineRule="auto"/>
      </w:pPr>
      <w:r>
        <w:rPr>
          <w:sz w:val="16"/>
          <w:color w:val="334155"/>
        </w:rPr>
        <w:t xml:space="preserve">[11] R. Y. Kumar and P. Suma Latha, 'Automated character segmentation and text normalization for consumer receipts,' IJRASET, vol. 11, no. 3, pp. 1–9, 2023.</w:t>
      </w:r>
    </w:p>
    <w:p>
      <w:pPr>
        <w:jc w:val="both"/>
        <w:spacing w:before="20" w:after="40"/>
        <w:ind w:left="360" w:hanging="360"/>
        <w:line w:line="210" w:lineRule="auto"/>
      </w:pPr>
      <w:r>
        <w:rPr>
          <w:sz w:val="16"/>
          <w:color w:val="334155"/>
        </w:rPr>
        <w:t xml:space="preserve">[12] M. Alruwaili et al., 'Adaptive typography and responsive canvas rendering in interactive financial analytics,' Scientific Reports, vol. 14, no. 1, p. 4812, 2024.</w:t>
      </w:r>
    </w:p>
    <w:p>
      <w:pPr>
        <w:jc w:val="both"/>
        <w:spacing w:before="20" w:after="40"/>
        <w:ind w:left="360" w:hanging="360"/>
        <w:line w:line="210" w:lineRule="auto"/>
      </w:pPr>
      <w:r>
        <w:rPr>
          <w:sz w:val="16"/>
          <w:color w:val="334155"/>
        </w:rPr>
        <w:t xml:space="preserve">[13] H. Mohd, I. M. Ismail, and J. Syed, 'Evaluation of user retention in automated versus manual personal finance apps,' Journal of Behavioral Economics, vol. 42, no. 3, pp. 150–162, 2023.</w:t>
      </w:r>
    </w:p>
    <w:p>
      <w:pPr>
        <w:jc w:val="both"/>
        <w:spacing w:before="20" w:after="40"/>
        <w:ind w:left="360" w:hanging="360"/>
        <w:line w:line="210" w:lineRule="auto"/>
      </w:pPr>
      <w:r>
        <w:rPr>
          <w:sz w:val="16"/>
          <w:color w:val="334155"/>
        </w:rPr>
        <w:t xml:space="preserve">[14] A. Badiruzaman and R. Mohamad, 'State persistence and multi-worker synchronization in distributed web architectures,' Journal of Electrical &amp; Electronic Systems Research, vol. 23, pp. 45–56, 2023.</w:t>
      </w:r>
    </w:p>
    <w:p>
      <w:pPr>
        <w:jc w:val="both"/>
        <w:spacing w:before="20" w:after="40"/>
        <w:ind w:left="360" w:hanging="360"/>
        <w:line w:line="210" w:lineRule="auto"/>
      </w:pPr>
      <w:r>
        <w:rPr>
          <w:sz w:val="16"/>
          <w:color w:val="334155"/>
        </w:rPr>
        <w:t xml:space="preserve">[15] T. Hitesh, B. Jeevan, and R. Dhanush, 'Client-side privacy preservation: Canvas obfuscation and ephemeral session management,' International Research Journal of Modernization in Engineering, vol. 5, pp. 210–221, 2023.</w:t>
      </w:r>
    </w:p>
    <w:p>
      <w:pPr>
        <w:jc w:val="both"/>
        <w:spacing w:before="20" w:after="40"/>
        <w:ind w:left="360" w:hanging="360"/>
        <w:line w:line="210" w:lineRule="auto"/>
      </w:pPr>
      <w:r>
        <w:rPr>
          <w:sz w:val="16"/>
          <w:color w:val="334155"/>
        </w:rPr>
        <w:t xml:space="preserve">[16] N. N. Nur Amirah Suhaimi, 'Heuristic classification of natural language accounting inputs,' Applied Computing Informatics, vol. 19, no. 2, pp. 88–101, 2024.</w:t>
      </w:r>
    </w:p>
    <w:p>
      <w:pPr>
        <w:jc w:val="both"/>
        <w:spacing w:before="20" w:after="40"/>
        <w:ind w:left="360" w:hanging="360"/>
        <w:line w:line="210" w:lineRule="auto"/>
      </w:pPr>
      <w:r>
        <w:rPr>
          <w:sz w:val="16"/>
          <w:color w:val="334155"/>
        </w:rPr>
        <w:t xml:space="preserve">[17] Y. Z. Yeap and K. S. Loh, 'Smart traffic and automated sensor network architectures,' International Conference on Intelligent Embedded Systems, pp. 102–110, 2024.</w:t>
      </w:r>
    </w:p>
    <w:p>
      <w:pPr>
        <w:jc w:val="both"/>
        <w:spacing w:before="20" w:after="40"/>
        <w:ind w:left="360" w:hanging="360"/>
        <w:line w:line="210" w:lineRule="auto"/>
      </w:pPr>
      <w:r>
        <w:rPr>
          <w:sz w:val="16"/>
          <w:color w:val="334155"/>
        </w:rPr>
        <w:t xml:space="preserve">[18] M. A. Diop and A. S. Faye, 'Edge intelligence and decentralized database replication with LibSQL,' Distributed Systems Review, vol. 8, no. 1, pp. 34–48, 2024.</w:t>
      </w:r>
    </w:p>
    <w:p>
      <w:pPr>
        <w:jc w:val="both"/>
        <w:spacing w:before="20" w:after="40"/>
        <w:ind w:left="360" w:hanging="360"/>
        <w:line w:line="210" w:lineRule="auto"/>
      </w:pPr>
      <w:r>
        <w:rPr>
          <w:sz w:val="16"/>
          <w:color w:val="334155"/>
        </w:rPr>
        <w:t xml:space="preserve">[19] Bank Negara Malaysia, 'Financial Stability Review and Digital Payments Trends in Malaysia,' BNM Publications, Kuala Lumpur, 2024.</w:t>
      </w:r>
    </w:p>
    <w:p>
      <w:pPr>
        <w:jc w:val="both"/>
        <w:spacing w:before="20" w:after="40"/>
        <w:ind w:left="360" w:hanging="360"/>
        <w:line w:line="210" w:lineRule="auto"/>
      </w:pPr>
      <w:r>
        <w:rPr>
          <w:sz w:val="16"/>
          <w:color w:val="334155"/>
        </w:rPr>
        <w:t xml:space="preserve">[20] Malaysian Institute of Digital Economy, 'Consumer data sovereignty and fintech adoption trends,' MIDE Annual Report, 2024.</w:t>
      </w:r>
    </w:p>
    <w:sectPr>
      <w:pgSz w:w="11906" w:h="16838"/>
      <w:pgMar w:top="1080" w:right="1080" w:bottom="1080" w:left="1080"/>
      <w:cols w:num="2" w:space="540"/>
    </w:sectPr>
  </w:body>
</w:document>
</file>

<file path=word/styles.xml><?xml version="1.0" encoding="utf-8"?>
<w:styles xmlns:w="http://schemas.openxmlformats.org/wordprocessingml/2006/main">
  <w:docDefaults>
    <w:rPrDefault>
      <w:rPr>
        <w:rFonts w:ascii="Times New Roman" w:hAnsi="Times New Roman" w:eastAsia="Times New Roman" w:cs="Times New Roman"/>
        <w:sz w:val="20"/>
        <w:color w:val="000000"/>
      </w:rPr>
    </w:rPrDefault>
  </w:docDefaults>
  <w:style w:type="paragraph" w:default="1" w:styleId="Normal">
    <w:name w:val="Normal"/>
    <w:pPr>
      <w:jc w:val="both"/>
      <w:spacing w:line="240" w:lineRule="auto"/>
    </w:pPr>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 Id="rIdImg1" Type="http://schemas.openxmlformats.org/officeDocument/2006/relationships/image" Target="media/fig1_dashboard.png"/><Relationship Id="rIdImg2" Type="http://schemas.openxmlformats.org/officeDocument/2006/relationships/image" Target="media/fig2_receipt.jpg"/><Relationship Id="rIdImg3" Type="http://schemas.openxmlformats.org/officeDocument/2006/relationships/image" Target="media/fig3_split_bill.png"/><Relationship Id="rIdImg4" Type="http://schemas.openxmlformats.org/officeDocument/2006/relationships/image" Target="media/fig4_records.png"/><Relationship Id="rIdImg5" Type="http://schemas.openxmlformats.org/officeDocument/2006/relationships/image" Target="media/fig5_recurring.png"/><Relationship Id="rIdImg6" Type="http://schemas.openxmlformats.org/officeDocument/2006/relationships/image" Target="media/fig6_donut_chart.png"/>
</Relationships>
</file>