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before="300" w:after="100" w:line="276" w:lineRule="auto"/>
      </w:pPr>
      <w:r>
        <w:rPr>
          <w:b/>
          <w:color w:val="0F172A"/>
          <w:sz w:val="52"/>
        </w:rPr>
        <w:t xml:space="preserve">LEDGER APP</w:t>
      </w:r>
    </w:p>
    <w:p>
      <w:pPr>
        <w:pStyle w:val="Subtitle"/>
        <w:jc w:val="center"/>
        <w:spacing w:after="200" w:line="276" w:lineRule="auto"/>
      </w:pPr>
      <w:r>
        <w:rPr>
          <w:b/>
          <w:color w:val="0369A1"/>
          <w:sz w:val="26"/>
        </w:rPr>
        <w:t xml:space="preserve">智能全功能个人记账与财务分析系统 — 全景技术架构设计与系统工程报告</w:t>
      </w:r>
    </w:p>
    <w:p>
      <w:pPr>
        <w:jc w:val="center"/>
        <w:spacing w:after="400" w:line="276" w:lineRule="auto"/>
      </w:pPr>
      <w:r>
        <w:rPr>
          <w:i/>
          <w:color w:val="64748B"/>
          <w:sz w:val="20"/>
        </w:rPr>
        <w:t xml:space="preserve">Comprehensive System Architecture &amp; Engineering Report</w:t>
      </w:r>
    </w:p>
    <w:tbl>
      <w:tblPr>
        <w:tblStyle w:val="TableGrid"/>
        <w:tblW w:w="0" w:type="auto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4" w:space="0" w:color="E2E8F0"/>
          <w:insideV w:val="single" w:sz="4" w:space="0" w:color="E2E8F0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2400"/>
        <w:gridCol w:w="2400"/>
      </w:tblGrid>
      <w:tr>
        <w:trPr>
          <w:tblHeader/>
        </w:trPr>
        <w:tc>
          <w:tcPr>
            <w:shd w:val="clear" w:color="auto" w:fill="0F172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 xml:space="preserve">项目元数据</w:t>
            </w:r>
          </w:p>
        </w:tc>
        <w:tc>
          <w:tcPr>
            <w:shd w:val="clear" w:color="auto" w:fill="0F172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 xml:space="preserve">配置 / 规范说明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系统名称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Ledger App (Web + Android Companion)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架构模式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分层架构 (Layered Architecture) + 策略模式 (Strategy Pattern) + 薄控制器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后端核心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Python 3.12 + Flask 3.0 + Gunicorn 多 Worker 并发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数据库层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双模引擎：本地 SQLite WAL / Turso Cloud (libsql-client 分布式云库)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前端体系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原生响应式现代 SPA 体验 + Chart.js 4.x + Vanilla CSS 极致性能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移动端伴侣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Android Native (Kotlin + Jetpack + NotificationListenerService)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AI &amp; 视觉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RapidOCR (ONNX Runtime) + 启发式自然语言解析 (NLP Smart Parser)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国际化支持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简体中文 (zh)、English (en)、Bahasa Melayu (ms)、繁体中文 (zh_TW)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工程规范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AGENTS.md 本地门禁 (Flake8 0-error + Pytest 100% 通过即提)</w:t>
            </w:r>
          </w:p>
        </w:tc>
      </w:tr>
    </w:tbl>
    <w:p>
      <w:pPr>
        <w:spacing w:after="300" w:line="276" w:lineRule="auto"/>
      </w:pPr>
      <w:r>
        <w:t xml:space="preserve"/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1. 项目概述与业务愿景 (Executive Summary)</w:t>
      </w:r>
    </w:p>
    <w:p>
      <w:pPr>
        <w:spacing w:after="140" w:line="276" w:lineRule="auto"/>
      </w:pPr>
      <w:r>
        <w:rPr>
          <w:color w:val="334155"/>
          <w:sz w:val="21"/>
        </w:rPr>
        <w:t xml:space="preserve">Ledger App 是一套为现代个人及家庭量身打造的跨平台、高隐私、自动化记账与深度财务洞察系统。区别于市面上充斥广告、强制联网云端绑定、数据泄露隐患重重的商业记账软件，本系统秉承“数据自主所有权（Self-Hosted &amp; Privacy-First）”与“零繁琐自动化记账”两大核心愿景，实现了覆盖从移动端通知监听捕获、小票图像拍照 OCR 智能拆单分账、自然语言秒级录入，到预算限额监控、固定账单订阅、债务还款规划及多维度交互式数据可视化的全生命周期闭环。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全渠道捕获: </w:t>
      </w:r>
      <w:r>
        <w:rPr>
          <w:color w:val="334155"/>
        </w:rPr>
        <w:t xml:space="preserve">无感自动化：依托 Android Companion 后台通知无感监听主流银行与电子钱包支付通知，秒级自动入账。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智能抗干扰: </w:t>
      </w:r>
      <w:r>
        <w:rPr>
          <w:color w:val="334155"/>
        </w:rPr>
        <w:t xml:space="preserve">独创防自转混淆与防自借还款误判的滑动时间窗口检测机制，杜绝账户间对调产生的虚假支出。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小票 AA 分账: </w:t>
      </w:r>
      <w:r>
        <w:rPr>
          <w:color w:val="334155"/>
        </w:rPr>
        <w:t xml:space="preserve">内置 RapidOCR 离线推理引擎，具备 0°/90°/180°/270° 自适应朝向校正与品名税率拆分分摊算法。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支出冲抵闭环: </w:t>
      </w:r>
      <w:r>
        <w:rPr>
          <w:color w:val="334155"/>
        </w:rPr>
        <w:t xml:space="preserve">支持朋友还款一键抵扣原消费记录，实时联动更新净支出与结余，彻底解决代付垫资账目混乱顽疾。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2. 系统分层架构与拓扑 (System Topology)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系统严格遵守现代软件工程的分层解耦原则与 AGENTS.md 规定的架构防腐门禁，整体拓扑划分为五个高内聚、低耦合的核心层次：</w:t>
      </w:r>
    </w:p>
    <w:tbl>
      <w:tblPr>
        <w:tblStyle w:val="TableGrid"/>
        <w:tblW w:w="0" w:type="auto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4" w:space="0" w:color="E2E8F0"/>
          <w:insideV w:val="single" w:sz="4" w:space="0" w:color="E2E8F0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2400"/>
        <w:gridCol w:w="2400"/>
        <w:gridCol w:w="2400"/>
      </w:tblGrid>
      <w:tr>
        <w:trPr>
          <w:tblHeader/>
        </w:trPr>
        <w:tc>
          <w:tcPr>
            <w:shd w:val="clear" w:color="auto" w:fill="0F172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 xml:space="preserve">架构层次</w:t>
            </w:r>
          </w:p>
        </w:tc>
        <w:tc>
          <w:tcPr>
            <w:shd w:val="clear" w:color="auto" w:fill="0F172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 xml:space="preserve">关键组件与目录</w:t>
            </w:r>
          </w:p>
        </w:tc>
        <w:tc>
          <w:tcPr>
            <w:shd w:val="clear" w:color="auto" w:fill="0F172A"/>
          </w:tcPr>
          <w:p>
            <w:pPr>
              <w:spacing w:before="60" w:after="60"/>
            </w:pPr>
            <w:r>
              <w:rPr>
                <w:b/>
                <w:color w:val="FFFFFF"/>
                <w:sz w:val="20"/>
              </w:rPr>
              <w:t xml:space="preserve">核心职责与设计原则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表现层 (Presentation)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templates/, static/ (app.js, styles.css)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遵循薄前端高性能原则，不引入臃肿重型框架；基于 Chart.js 呈现沉浸式图表；全面支持深浅色与隐私脱敏模式。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控制装配层 (Controllers)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app.py, blueprints/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遵循薄控制器 (Thin Controller) 原则；app.py 仅作应用装配与中间件注册；各 Blueprint 仅负责 HTTP 校验、调用服务与响应包装。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领域服务层 (Domain Services)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services/ (parsers, ocr, ai, notification)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承载复杂核心业务规则。严禁依赖 Flask 上下文，纯函数化设计与策略模式，具备 100% 独立可测试性。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核心基础设施 (Core &amp; Infra)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core/ (db, config, i18n, utils)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提供多语言国际化字典引擎、统一数据库连接管理、CSRF 安全防护与全局元数据持久化支持。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移动端伴侣 (Mobile Companion)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android-companion/ (Kotlin/Jetpack)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  <w:line w:line="240" w:lineRule="auto"/>
            </w:pPr>
            <w:r>
              <w:rPr>
                <w:color w:val="1E293B"/>
                <w:sz w:val="19"/>
              </w:rPr>
              <w:t xml:space="preserve">原生 Android 伴侣端，常驻后台拦截银行/钱包通知，执行初步过滤并通过安全 Token 投递至后端 API。</w:t>
            </w:r>
          </w:p>
        </w:tc>
      </w:tr>
    </w:tbl>
    <w:p>
      <w:pPr>
        <w:spacing w:after="200" w:line="276" w:lineRule="auto"/>
      </w:pPr>
      <w:r>
        <w:t xml:space="preserve"/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3. 后端模块化与业务蓝图详解 (Backend Modules)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后端采用 Flask Blueprint 进行横向业务领域切分，彻底杜绝了将业务堆砌在单一入口的单体膨胀风险：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1. transactions (交易核心): </w:t>
      </w:r>
      <w:r>
        <w:rPr>
          <w:color w:val="334155"/>
        </w:rPr>
        <w:t xml:space="preserve">负责流水记账增删改查、批量操作、5 秒撤销恢复窗口 (Undo Toast)、分类限额阈值计算、Excel 导入导出与借还冲抵。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2. analytics (统计分析): </w:t>
      </w:r>
      <w:r>
        <w:rPr>
          <w:color w:val="334155"/>
        </w:rPr>
        <w:t xml:space="preserve">驱动总体概览 (Overview) 宏观统计、长期月度收支趋势柱状图、主副业收入结构比、分类占比动态自适应环形图以及深度洞察钻取。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3. auto_track (自动记账): </w:t>
      </w:r>
      <w:r>
        <w:rPr>
          <w:color w:val="334155"/>
        </w:rPr>
        <w:t xml:space="preserve">接收移动端伴侣推送的银行原始交易通知，调度策略解析器执行特征匹配，触发自动化入账与实时去重。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4. split_bill (AA分账): </w:t>
      </w:r>
      <w:r>
        <w:rPr>
          <w:color w:val="334155"/>
        </w:rPr>
        <w:t xml:space="preserve">集成 RapidOCR 推理、小票多角度纠偏、单品明细识别、服务费/SST 税费智能摊派与人头均摊计算器。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5. subscriptions (固定账单): </w:t>
      </w:r>
      <w:r>
        <w:rPr>
          <w:color w:val="334155"/>
        </w:rPr>
        <w:t xml:space="preserve">周期性固定支出与收入调度，支持按周、月、季、年等周期自动推算扣费日并预警支出节奏。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6. liabilities (资产负债): </w:t>
      </w:r>
      <w:r>
        <w:rPr>
          <w:color w:val="334155"/>
        </w:rPr>
        <w:t xml:space="preserve">跟进分期贷款、信用卡账单、借款债务，支持录入年化利息、还款计划表并核算净负债。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7. settings (个性化设置): </w:t>
      </w:r>
      <w:r>
        <w:rPr>
          <w:color w:val="334155"/>
        </w:rPr>
        <w:t xml:space="preserve">系统全局配置中心，包括货币代码、主副业标签定义、自然语言免确认开关、时区探测与安全令牌管理。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8. auth (安全认证): </w:t>
      </w:r>
      <w:r>
        <w:rPr>
          <w:color w:val="334155"/>
        </w:rPr>
        <w:t xml:space="preserve">基于会话 Session 与 HTTP-Only 保护的轻量安全鉴权，支持多用户环境下的租户数据隔离。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4. 开放封闭策略解析器引擎 (Strategy Pattern)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在解析各家银行、电子钱包短信与推送通知时，传统项目常使用嵌套巨型 if/elif 结构，极易导致新旧规则冲突与难以维护。Ledger App 强制采用策略模式 (Strategy Pattern)，所有渠道解析器均继承自 NotificationParserStrategy 抽象基类，并采用 @register_parser 自动注册。</w:t>
      </w:r>
    </w:p>
    <w:p>
      <w:pPr>
        <w:pBdr>
          <w:left w:val="single" w:sz="24" w:space="12" w:color="0284C7"/>
        </w:pBdr>
        <w:shd w:val="clear" w:color="auto" w:fill="F0F9FF"/>
        <w:spacing w:before="120" w:after="40"/>
        <w:ind w:left="240" w:right="120"/>
      </w:pPr>
      <w:r>
        <w:rPr>
          <w:b/>
          <w:color w:val="0369A1"/>
          <w:sz w:val="22"/>
        </w:rPr>
        <w:t xml:space="preserve">开闭原则 (Open/Closed Principle) 强制规范</w:t>
      </w:r>
    </w:p>
    <w:p>
      <w:pPr>
        <w:pBdr>
          <w:left w:val="single" w:sz="24" w:space="12" w:color="0284C7"/>
        </w:pBdr>
        <w:shd w:val="clear" w:color="auto" w:fill="F0F9FF"/>
        <w:spacing w:after="160" w:line="260" w:lineRule="auto"/>
        <w:ind w:left="240" w:right="120"/>
      </w:pPr>
      <w:r>
        <w:rPr>
          <w:color w:val="334155"/>
          <w:sz w:val="20"/>
        </w:rPr>
        <w:t xml:space="preserve">所有新增银行渠道（如 Public Bank、RHB、CIMB）必须在 services/parsers/ 下新建独立策略类，禁止修改既有解析流程；每个策略类必须配备独立的纯文本单元测试（test_parsers_strategy.py），实现零副作用扩展。</w:t>
      </w:r>
    </w:p>
    <w:p>
      <w:pPr>
        <w:spacing w:before="100" w:after="80" w:line="276" w:lineRule="auto"/>
      </w:pPr>
      <w:r>
        <w:rPr>
          <w:b/>
          <w:color w:val="1E293B"/>
        </w:rPr>
        <w:t xml:space="preserve">当前已内置生产级解析策略：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Touch 'n Go eWallet: </w:t>
      </w:r>
      <w:r>
        <w:rPr>
          <w:color w:val="334155"/>
        </w:rPr>
        <w:t xml:space="preserve">解析 DuitNow 扫码、P2P 转账、商家付款与余额充值，精准提取商户名称与流水号。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Grab / GrabPay: </w:t>
      </w:r>
      <w:r>
        <w:rPr>
          <w:color w:val="334155"/>
        </w:rPr>
        <w:t xml:space="preserve">提取 GrabFood、GrabCar、GrabPay 二维码转账与 GrabRewards 抵扣后真实出账金额。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Maybank / MAE: </w:t>
      </w:r>
      <w:r>
        <w:rPr>
          <w:color w:val="334155"/>
        </w:rPr>
        <w:t xml:space="preserve">解析 MAE App 推送、DuitNow Transfer、支出与来账通知，精准提取付款方与收款方账户尾号。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Standard Bank SMS: </w:t>
      </w:r>
      <w:r>
        <w:rPr>
          <w:color w:val="334155"/>
        </w:rPr>
        <w:t xml:space="preserve">通用银行借记卡/信用卡消费短信策略，支持各大主流发卡行标准 SMS 模版识别。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5. 小票 RapidOCR 与图像自适应校正 (OCR &amp; Computer Vision)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小票扫描与 AA 分账模块是 Ledger App 的特色硬核工程。面对用户拍照角度倾斜、小票横置甚至倒置的常见现实痛点，系统构建了自适应视觉处理管线：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1. 图像预处理: </w:t>
      </w:r>
      <w:r>
        <w:rPr>
          <w:color w:val="334155"/>
        </w:rPr>
        <w:t xml:space="preserve">用户上传小票图片后，预处理管线执行灰度化、高斯自适应对比度增强与双边滤波去噪，显著提升折痕小票文字对比度。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2. 智能多向纠偏: </w:t>
      </w:r>
      <w:r>
        <w:rPr>
          <w:color w:val="334155"/>
        </w:rPr>
        <w:t xml:space="preserve">基于文字检出框长宽比与置信度特征，自动探测小票是否存在 90°、180° 或 270° 偏转，并触发无损旋转校正。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3. 离线模型推理: </w:t>
      </w:r>
      <w:r>
        <w:rPr>
          <w:color w:val="334155"/>
        </w:rPr>
        <w:t xml:space="preserve">采用轻量化 ONNX 运行时的 RapidOCR 模型，在无需 GPU 的普通云服务器或轻量 VPS 上即可实现 300ms 极速高精文本提取。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4. 智能要素提取: </w:t>
      </w:r>
      <w:r>
        <w:rPr>
          <w:color w:val="334155"/>
        </w:rPr>
        <w:t xml:space="preserve">基于正则与空间拓扑距离算法，智能分离菜品名称、单价、数量、10% 服务费 (Service Charge) 与 6% SST 税费，并提供可交互的人头点选分账矩阵。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6. Android 移动端伴侣架构 (Android Companion)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Android Companion 位于 android-companion/ 目录，采用现代 Kotlin + Jetpack 架构：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常驻无感监听: </w:t>
      </w:r>
      <w:r>
        <w:rPr>
          <w:color w:val="334155"/>
        </w:rPr>
        <w:t xml:space="preserve">继承自 Android 原生 NotificationListenerService，在获得系统通知访问权限后常驻后台，毫秒级响应系统广播推送。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白名单过滤: </w:t>
      </w:r>
      <w:r>
        <w:rPr>
          <w:color w:val="334155"/>
        </w:rPr>
        <w:t xml:space="preserve">维护应用白名单（包名过滤），杜绝无关应用通知唤醒，保持极低耗电与零隐私侵扰。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安全网络同步: </w:t>
      </w:r>
      <w:r>
        <w:rPr>
          <w:color w:val="334155"/>
        </w:rPr>
        <w:t xml:space="preserve">每次推送携带用户在设置中生成的专属 API Sync Token，通过 HTTPS POST 协议加密发送至服务端 /api/auto-track/push。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自动化 APK 构建: </w:t>
      </w:r>
      <w:r>
        <w:rPr>
          <w:color w:val="334155"/>
        </w:rPr>
        <w:t xml:space="preserve">配套 GitHub Actions CI/CD 流水线，每次功能合并自动编译生成最新 release/debug APK 产物。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7. 数据持久化、并发安全与多 Worker 状态防护 (Data &amp; Security)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针对生产环境下多进程容器部署与高并发写入，系统设计了严密的持久化与安全防护体系：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双模数据库适配: </w:t>
      </w:r>
      <w:r>
        <w:rPr>
          <w:color w:val="334155"/>
        </w:rPr>
        <w:t xml:space="preserve">本地模式下采用 WAL (Write-Ahead Logging) 模式，极大提升读写并发性能，避免 database is locked 错误；云端模式支持无缝切换至 Turso (libsql-client)，实现跨区域边缘低延迟云同步。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多进程数据版本一致性: </w:t>
      </w:r>
      <w:r>
        <w:rPr>
          <w:color w:val="334155"/>
        </w:rPr>
        <w:t xml:space="preserve">严禁使用 Python 进程内存全局变量保存关键数据版本！通过 system_metadata 表（bump_data_version 与 get_data_version）持久化版本标记，保证 Gunicorn 多 Worker 架构下前端局部刷新与轮询状态 100% 同步一致。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深度安全防护: </w:t>
      </w:r>
      <w:r>
        <w:rPr>
          <w:color w:val="334155"/>
        </w:rPr>
        <w:t xml:space="preserve">全站集成 Flask-WTF CSRF 防护，所有 POST/PUT/DELETE 请求与 AJAX 异步提交均校验 CSRF Token；敏感端点设置防爆破频次限制；会话启用 HttpOnly 与 SameSite 保护。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8. 前端设计哲学、自适应防遮挡与全国际化 (Frontend &amp; UI)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前端遵循现代简约设计语言与最高级别审美标准，具备如下核心特性：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沉浸式双模主题: </w:t>
      </w:r>
      <w:r>
        <w:rPr>
          <w:color w:val="334155"/>
        </w:rPr>
        <w:t xml:space="preserve">支持深色模式 (Dark Mode)、浅色模式与系统跟随，采用精心调配的高对比度柔和配色（HSL 调色系统），长时间使用眼睛舒适不疲劳。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隐私保护模式: </w:t>
      </w:r>
      <w:r>
        <w:rPr>
          <w:color w:val="334155"/>
        </w:rPr>
        <w:t xml:space="preserve">提供一键隐私脱敏切换，即时将所有涉及账户余额、交易金额与图表中心数字模糊替换为 ••••••，在公共场合随时放心打开。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环形图中心文字自适应:  </w:t>
      </w:r>
      <w:r>
        <w:rPr>
          <w:color w:val="334155"/>
        </w:rPr>
        <w:t xml:space="preserve">针对 Chart.js 环形图中心文本易被扇区切断的行业顽疾，实现了基于物理内径 (innerRadius) 的动态字号缩放算法，并采用 afterDraw 保证层级优先，杜绝图表遮挡内部文字。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四语全面国际化: </w:t>
      </w:r>
      <w:r>
        <w:rPr>
          <w:color w:val="334155"/>
        </w:rPr>
        <w:t xml:space="preserve">全站实现中、英、马、繁四语无死角国际化，所有后端模板、客户端 JS 动态渲染弹窗与图表文案均由 window.t 统一驱动。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9. 质量保障体系与自动化测试门禁 (CI/CD Quality Gates)</w:t>
      </w:r>
    </w:p>
    <w:p>
      <w:pPr>
        <w:spacing w:after="120" w:line="276" w:lineRule="auto"/>
      </w:pPr>
      <w:r>
        <w:rPr>
          <w:color w:val="334155"/>
          <w:sz w:val="21"/>
        </w:rPr>
        <w:t xml:space="preserve">系统代码库严格推行现代敏捷与 DevOps 规范（AGENTS.md 准则）：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静态代码质量审查: </w:t>
      </w:r>
      <w:r>
        <w:rPr>
          <w:color w:val="334155"/>
        </w:rPr>
        <w:t xml:space="preserve">任何提交前本地必须通过 flake8 严苛检查，严禁任何未定义变量、未引用模块或语法隐患。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自动化回归测试套件: </w:t>
      </w:r>
      <w:r>
        <w:rPr>
          <w:color w:val="334155"/>
        </w:rPr>
        <w:t xml:space="preserve">覆盖安全防范、数据库持久化、OCR 纠偏算法、策略解析器、AA 分账与多语言国际化等 104 项端到端单元测试与集成测试，确保 100% 通过。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Git Rebase 提交流水线: </w:t>
      </w:r>
      <w:r>
        <w:rPr>
          <w:color w:val="334155"/>
        </w:rPr>
        <w:t xml:space="preserve">每次准备提交前必须先执行 git pull --rebase，杜绝冲突覆盖与非快进报错；每个 Feature/Bugfix 必须配备清晰的规范提交信息（Conventional Commits）。</w:t>
      </w:r>
    </w:p>
    <w:p>
      <w:pPr>
        <w:pStyle w:val="Heading1"/>
        <w:spacing w:before="300" w:after="120" w:line="276" w:lineRule="auto"/>
      </w:pPr>
      <w:r>
        <w:rPr>
          <w:b/>
          <w:color w:val="0F172A"/>
          <w:sz w:val="32"/>
        </w:rPr>
        <w:t xml:space="preserve">10. 部署指南与未来演进路线 (Deployment &amp; Roadmap)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Docker 容器化: </w:t>
      </w:r>
      <w:r>
        <w:rPr>
          <w:color w:val="334155"/>
        </w:rPr>
        <w:t xml:space="preserve">内置多阶段安全 Dockerfile，一键在本地、VPS 或私有家庭 NAS (如群晖 Synology, Unraid) 上容器化拉起。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Render 云部署: </w:t>
      </w:r>
      <w:r>
        <w:rPr>
          <w:color w:val="334155"/>
        </w:rPr>
        <w:t xml:space="preserve">内置 render.yaml 基础设施即代码配置，开箱即用支持 Render.com 云原生一键部署与持久化挂载卷配置。</w:t>
      </w:r>
    </w:p>
    <w:p>
      <w:pPr>
        <w:pStyle w:val="ListParagraph"/>
        <w:numPr>
          <w:ilvl w:val="0"/>
          <w:numId w:val="1"/>
        </w:numPr>
        <w:spacing w:after="80" w:line="260" w:lineRule="auto"/>
      </w:pPr>
      <w:r>
        <w:rPr>
          <w:b/>
          <w:color w:val="1E293B"/>
        </w:rPr>
        <w:t xml:space="preserve">• 未来路线规划: </w:t>
      </w:r>
      <w:r>
        <w:rPr>
          <w:color w:val="334155"/>
        </w:rPr>
        <w:t xml:space="preserve">未来版本将规划支持更多跨国银行 Open API 对接、家庭多成员协同账本与本地大模型 (Ollama) 私有化智能财务咨询报告生成。</w:t>
      </w:r>
    </w:p>
    <w:p>
      <w:pPr>
        <w:spacing w:after="400" w:line="276" w:lineRule="auto"/>
      </w:pPr>
      <w:r>
        <w:t xml:space="preserve"/>
      </w:r>
    </w:p>
    <w:p>
      <w:pPr>
        <w:jc w:val="center"/>
      </w:pPr>
      <w:r>
        <w:rPr>
          <w:i/>
          <w:color w:val="94A3B8"/>
          <w:sz w:val="18"/>
        </w:rPr>
        <w:t xml:space="preserve">— 报告编制完成 · Ledger App Architecture Engineering Team —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eastAsia="Microsoft YaHei" w:cs="Segoe UI"/>
        <w:sz w:val="21"/>
        <w:color w:val="334155"/>
      </w:rPr>
    </w:rPrDefault>
  </w:docDefaults>
  <w:style w:type="paragraph" w:default="1" w:styleId="Normal">
    <w:name w:val="Normal"/>
    <w:pPr>
      <w:spacing w:line="276" w:lineRule="auto"/>
    </w:pPr>
  </w:style>
  <w:style w:type="paragraph" w:styleId="Heading1">
    <w:name w:val="heading 1"/>
    <w:pPr>
      <w:spacing w:before="260" w:after="120" w:line="260" w:lineRule="auto"/>
      <w:outlineLvl w:val="0"/>
    </w:pPr>
    <w:rPr>
      <w:b/>
      <w:color w:val="0F172A"/>
      <w:sz w:val="32"/>
    </w:rPr>
  </w:style>
  <w:style w:type="paragraph" w:styleId="Heading2">
    <w:name w:val="heading 2"/>
    <w:pPr>
      <w:spacing w:before="180" w:after="80" w:line="260" w:lineRule="auto"/>
      <w:outlineLvl w:val="1"/>
    </w:pPr>
    <w:rPr>
      <w:b/>
      <w:color w:val="0369A1"/>
      <w:sz w:val="26"/>
    </w:rPr>
  </w:style>
  <w:style w:type="paragraph" w:styleId="Heading3">
    <w:name w:val="heading 3"/>
    <w:pPr>
      <w:spacing w:before="120" w:after="60" w:line="260" w:lineRule="auto"/>
      <w:outlineLvl w:val="2"/>
    </w:pPr>
    <w:rPr>
      <w:b/>
      <w:color w:val="0F766E"/>
      <w:sz w:val="22"/>
    </w:rPr>
  </w:style>
  <w:style w:type="paragraph" w:styleId="Title">
    <w:name w:val="Title"/>
    <w:pPr>
      <w:spacing w:before="200" w:after="100" w:line="280" w:lineRule="auto"/>
    </w:pPr>
    <w:rPr>
      <w:b/>
      <w:color w:val="0F172A"/>
      <w:sz w:val="52"/>
    </w:rPr>
  </w:style>
  <w:style w:type="paragraph" w:styleId="Subtitle">
    <w:name w:val="Subtitle"/>
    <w:pPr>
      <w:spacing w:after="240" w:line="260" w:lineRule="auto"/>
    </w:pPr>
    <w:rPr>
      <w:color w:val="64748B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