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25F9" w14:textId="77777777" w:rsidR="006F0672" w:rsidRPr="00FE7D9A" w:rsidRDefault="006F0672" w:rsidP="006F0672">
      <w:pPr>
        <w:pStyle w:val="Title"/>
        <w:rPr>
          <w:rFonts w:ascii="Tahoma" w:hAnsi="Tahoma" w:cs="Tahoma"/>
        </w:rPr>
      </w:pPr>
      <w:r w:rsidRPr="00FE7D9A">
        <w:rPr>
          <w:rFonts w:ascii="Tahoma" w:hAnsi="Tahoma" w:cs="Tahoma"/>
        </w:rPr>
        <w:t>Cookies Sales Analysis Report</w:t>
      </w:r>
    </w:p>
    <w:p w14:paraId="3A10A137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September 2019 – December 2020</w:t>
      </w:r>
    </w:p>
    <w:p w14:paraId="2B059A11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Prepared for Cookie board review.</w:t>
      </w:r>
    </w:p>
    <w:p w14:paraId="10F444E9" w14:textId="77777777" w:rsidR="006F0672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Louis Parsons</w:t>
      </w:r>
    </w:p>
    <w:p w14:paraId="0604641B" w14:textId="77777777" w:rsidR="006F0672" w:rsidRDefault="006F0672" w:rsidP="006F0672">
      <w:pPr>
        <w:rPr>
          <w:rFonts w:ascii="Tahoma" w:hAnsi="Tahoma" w:cs="Tahoma"/>
        </w:rPr>
      </w:pPr>
    </w:p>
    <w:p w14:paraId="718121E5" w14:textId="77777777" w:rsidR="006F0672" w:rsidRPr="00FE7D9A" w:rsidRDefault="006F0672" w:rsidP="006F0672">
      <w:pPr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2F8D4847" wp14:editId="5A1A8782">
            <wp:extent cx="6791325" cy="4362450"/>
            <wp:effectExtent l="0" t="0" r="0" b="0"/>
            <wp:docPr id="20337192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18456D-915E-D9D7-820F-1525912447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Pr="00FE7D9A">
        <w:rPr>
          <w:rFonts w:ascii="Tahoma" w:hAnsi="Tahoma" w:cs="Tahoma"/>
        </w:rPr>
        <w:br w:type="page"/>
      </w:r>
    </w:p>
    <w:p w14:paraId="01FE2FFA" w14:textId="77777777" w:rsidR="006F0672" w:rsidRPr="00FE7D9A" w:rsidRDefault="006F0672" w:rsidP="006F0672">
      <w:pPr>
        <w:pStyle w:val="Heading1"/>
        <w:rPr>
          <w:rFonts w:ascii="Tahoma" w:hAnsi="Tahoma" w:cs="Tahoma"/>
        </w:rPr>
      </w:pPr>
      <w:r w:rsidRPr="00FE7D9A">
        <w:rPr>
          <w:rFonts w:ascii="Tahoma" w:hAnsi="Tahoma" w:cs="Tahoma"/>
        </w:rPr>
        <w:lastRenderedPageBreak/>
        <w:t>Cookies Sales Dashboard – Executive Report</w:t>
      </w:r>
      <w:r w:rsidRPr="00FE7D9A">
        <w:rPr>
          <w:rFonts w:ascii="Tahoma" w:hAnsi="Tahoma" w:cs="Tahoma"/>
        </w:rPr>
        <w:br/>
        <w:t>(September 2019 – December 2020)</w:t>
      </w:r>
    </w:p>
    <w:p w14:paraId="0F833EF3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t>Overview</w:t>
      </w:r>
    </w:p>
    <w:p w14:paraId="39129B70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 xml:space="preserve">This report </w:t>
      </w:r>
      <w:proofErr w:type="spellStart"/>
      <w:r w:rsidRPr="00FE7D9A">
        <w:rPr>
          <w:rFonts w:ascii="Tahoma" w:hAnsi="Tahoma" w:cs="Tahoma"/>
        </w:rPr>
        <w:t>summarises</w:t>
      </w:r>
      <w:proofErr w:type="spellEnd"/>
      <w:r w:rsidRPr="00FE7D9A">
        <w:rPr>
          <w:rFonts w:ascii="Tahoma" w:hAnsi="Tahoma" w:cs="Tahoma"/>
        </w:rPr>
        <w:t xml:space="preserve"> product, category, and geographic performance across the </w:t>
      </w:r>
      <w:proofErr w:type="gramStart"/>
      <w:r w:rsidRPr="00FE7D9A">
        <w:rPr>
          <w:rFonts w:ascii="Tahoma" w:hAnsi="Tahoma" w:cs="Tahoma"/>
        </w:rPr>
        <w:t>cookies</w:t>
      </w:r>
      <w:proofErr w:type="gramEnd"/>
      <w:r w:rsidRPr="00FE7D9A">
        <w:rPr>
          <w:rFonts w:ascii="Tahoma" w:hAnsi="Tahoma" w:cs="Tahoma"/>
        </w:rPr>
        <w:t xml:space="preserve"> dataset spanning September 2019 to December 2020. It highlights revenue drivers, profit leaders, margin efficiency, and international market performance.</w:t>
      </w:r>
    </w:p>
    <w:p w14:paraId="19E1FA25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t>Key Insights</w:t>
      </w:r>
    </w:p>
    <w:p w14:paraId="0D462AD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Standard category drives 65.3% of total revenue.</w:t>
      </w:r>
    </w:p>
    <w:p w14:paraId="57E66C4C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Chocolate Chip is the highest revenue and highest profit product.</w:t>
      </w:r>
    </w:p>
    <w:p w14:paraId="3DD5728E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Budget category shows the strongest margin efficiency (68%).</w:t>
      </w:r>
    </w:p>
    <w:p w14:paraId="40988E5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Fortune Cookie yields an exceptional 80% profit margin.</w:t>
      </w:r>
    </w:p>
    <w:p w14:paraId="3799C13A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UK and India lead global performance.</w:t>
      </w:r>
    </w:p>
    <w:p w14:paraId="2096A032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Global margin % remains highly stable (60–62%).</w:t>
      </w:r>
    </w:p>
    <w:p w14:paraId="4D8C54A3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t>Product Insights</w:t>
      </w:r>
    </w:p>
    <w:p w14:paraId="1B97CD14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Chocolate Chip dominates with $2.97M revenue and $1.78M profit.</w:t>
      </w:r>
    </w:p>
    <w:p w14:paraId="29A34645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Snickerdoodle shows stable profitability despite lower pricing.</w:t>
      </w:r>
    </w:p>
    <w:p w14:paraId="77CB7BE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White Chocolate Macadamia Nut leads the premium segment.</w:t>
      </w:r>
    </w:p>
    <w:p w14:paraId="545D985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Fortune Cookie delivers the highest margin (80%) despite lowest revenue.</w:t>
      </w:r>
    </w:p>
    <w:p w14:paraId="25AA6E2B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Sugar is the most balanced product (moderate volume + margin).</w:t>
      </w:r>
    </w:p>
    <w:p w14:paraId="16512750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t>Category Insights</w:t>
      </w:r>
    </w:p>
    <w:p w14:paraId="425DEAAD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Standard category drives the business: $5.4M revenue and 59.6% margin.</w:t>
      </w:r>
    </w:p>
    <w:p w14:paraId="2800B4AF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Premium category has the highest selling price but lower margin (54%).</w:t>
      </w:r>
    </w:p>
    <w:p w14:paraId="3E205C24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Budget category yields the strongest margin efficiency (68%).</w:t>
      </w:r>
    </w:p>
    <w:p w14:paraId="7A7B9E40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 xml:space="preserve">• Unit sales strongly </w:t>
      </w:r>
      <w:proofErr w:type="spellStart"/>
      <w:r w:rsidRPr="00FE7D9A">
        <w:rPr>
          <w:rFonts w:ascii="Tahoma" w:hAnsi="Tahoma" w:cs="Tahoma"/>
        </w:rPr>
        <w:t>favour</w:t>
      </w:r>
      <w:proofErr w:type="spellEnd"/>
      <w:r w:rsidRPr="00FE7D9A">
        <w:rPr>
          <w:rFonts w:ascii="Tahoma" w:hAnsi="Tahoma" w:cs="Tahoma"/>
        </w:rPr>
        <w:t xml:space="preserve"> the Standard category (1.13M units).</w:t>
      </w:r>
    </w:p>
    <w:p w14:paraId="737300E5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Revenue share closely aligns with margin stability across categories.</w:t>
      </w:r>
    </w:p>
    <w:p w14:paraId="1DF656F1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t>Performance Highlights</w:t>
      </w:r>
    </w:p>
    <w:p w14:paraId="0E7217DF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Highest-profit item: Chocolate Chip ($1.78M).</w:t>
      </w:r>
    </w:p>
    <w:p w14:paraId="4A0A81F4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Highest-volume item: Chocolate Chip (594k units).</w:t>
      </w:r>
    </w:p>
    <w:p w14:paraId="1028537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Lowest-volume but best-margin: Fortune Cookie (80% margin).</w:t>
      </w:r>
    </w:p>
    <w:p w14:paraId="7616F6A9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Best-balanced product: Sugar.</w:t>
      </w:r>
    </w:p>
    <w:p w14:paraId="6A01A9F4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Trends indicate a mature market with predictable margins.</w:t>
      </w:r>
    </w:p>
    <w:p w14:paraId="5CE1D985" w14:textId="77777777" w:rsidR="006F0672" w:rsidRPr="00FE7D9A" w:rsidRDefault="006F0672" w:rsidP="006F0672">
      <w:pPr>
        <w:pStyle w:val="Heading2"/>
        <w:rPr>
          <w:rFonts w:ascii="Tahoma" w:hAnsi="Tahoma" w:cs="Tahoma"/>
        </w:rPr>
      </w:pPr>
      <w:r w:rsidRPr="00FE7D9A">
        <w:rPr>
          <w:rFonts w:ascii="Tahoma" w:hAnsi="Tahoma" w:cs="Tahoma"/>
        </w:rPr>
        <w:lastRenderedPageBreak/>
        <w:t>Country Insights</w:t>
      </w:r>
    </w:p>
    <w:p w14:paraId="5F62A206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UK, India, and the US form a tight revenue cluster around $1.75–$1.81M.</w:t>
      </w:r>
    </w:p>
    <w:p w14:paraId="65EEB0CB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Malaysia and the Philippines show lower revenue but consistent demand.</w:t>
      </w:r>
    </w:p>
    <w:p w14:paraId="11015C2D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Profit distribution mirrors revenue patterns globally.</w:t>
      </w:r>
    </w:p>
    <w:p w14:paraId="7C39EA8F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Margin % is nearly identical across countries (60–61.5%).</w:t>
      </w:r>
    </w:p>
    <w:p w14:paraId="54E86356" w14:textId="77777777" w:rsidR="006F0672" w:rsidRPr="00FE7D9A" w:rsidRDefault="006F0672" w:rsidP="006F0672">
      <w:pPr>
        <w:rPr>
          <w:rFonts w:ascii="Tahoma" w:hAnsi="Tahoma" w:cs="Tahoma"/>
        </w:rPr>
      </w:pPr>
      <w:r w:rsidRPr="00FE7D9A">
        <w:rPr>
          <w:rFonts w:ascii="Tahoma" w:hAnsi="Tahoma" w:cs="Tahoma"/>
        </w:rPr>
        <w:t>• Strong international reach suggests stable global demand.</w:t>
      </w:r>
    </w:p>
    <w:p w14:paraId="7237CFF4" w14:textId="77777777" w:rsidR="006F0672" w:rsidRPr="00FE7D9A" w:rsidRDefault="006F0672" w:rsidP="006F0672">
      <w:pPr>
        <w:rPr>
          <w:rFonts w:ascii="Tahoma" w:hAnsi="Tahoma" w:cs="Tahoma"/>
        </w:rPr>
      </w:pPr>
    </w:p>
    <w:p w14:paraId="6231AB31" w14:textId="77777777" w:rsidR="006F0672" w:rsidRPr="00FE7D9A" w:rsidRDefault="006F0672" w:rsidP="006F0672">
      <w:pPr>
        <w:pStyle w:val="Heading1"/>
        <w:rPr>
          <w:rFonts w:ascii="Tahoma" w:hAnsi="Tahoma" w:cs="Tahoma"/>
        </w:rPr>
      </w:pPr>
      <w:r w:rsidRPr="00FE7D9A">
        <w:rPr>
          <w:rFonts w:ascii="Tahoma" w:hAnsi="Tahoma" w:cs="Tahoma"/>
        </w:rPr>
        <w:t>Suggested Next Steps</w:t>
      </w:r>
    </w:p>
    <w:p w14:paraId="268151D7" w14:textId="77777777" w:rsidR="006F0672" w:rsidRPr="00FE7D9A" w:rsidRDefault="006F0672" w:rsidP="006F0672">
      <w:p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Improving future performance will benefit from clearer insight into how customers buy and how products interact. A deeper look at purchasing patterns over time will help identify which categories bring customers back most frequently and where retention can be strengthened.</w:t>
      </w:r>
    </w:p>
    <w:p w14:paraId="4A2D732E" w14:textId="77777777" w:rsidR="006F0672" w:rsidRPr="00FE7D9A" w:rsidRDefault="006F0672" w:rsidP="006F0672">
      <w:p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Pricing strategy is another key opportunity. Understanding how sensitive customers are to changes in price—across both Budget and Premium segments—will allow for more confident, data-driven pricing decisions.</w:t>
      </w:r>
    </w:p>
    <w:p w14:paraId="4CA88FE4" w14:textId="77777777" w:rsidR="006F0672" w:rsidRPr="00FE7D9A" w:rsidRDefault="006F0672" w:rsidP="006F0672">
      <w:p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b/>
          <w:bCs/>
          <w:lang w:val="en-GB"/>
        </w:rPr>
        <w:t>Additional actions to consider include:</w:t>
      </w:r>
    </w:p>
    <w:p w14:paraId="79A4F20B" w14:textId="77777777" w:rsidR="006F0672" w:rsidRPr="00FE7D9A" w:rsidRDefault="006F0672" w:rsidP="006F0672">
      <w:pPr>
        <w:numPr>
          <w:ilvl w:val="0"/>
          <w:numId w:val="10"/>
        </w:num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Expanding geographic analysis to spot rising markets and regional demand shifts.</w:t>
      </w:r>
    </w:p>
    <w:p w14:paraId="47E6967E" w14:textId="77777777" w:rsidR="006F0672" w:rsidRPr="00FE7D9A" w:rsidRDefault="006F0672" w:rsidP="006F0672">
      <w:pPr>
        <w:numPr>
          <w:ilvl w:val="0"/>
          <w:numId w:val="10"/>
        </w:num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Reviewing supply chain and COGS efficiency, particularly for lower-margin products.</w:t>
      </w:r>
    </w:p>
    <w:p w14:paraId="74283B68" w14:textId="77777777" w:rsidR="006F0672" w:rsidRPr="00FE7D9A" w:rsidRDefault="006F0672" w:rsidP="006F0672">
      <w:pPr>
        <w:numPr>
          <w:ilvl w:val="0"/>
          <w:numId w:val="10"/>
        </w:num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Testing product bundles to raise average order value and encourage multi-item purchases.</w:t>
      </w:r>
    </w:p>
    <w:p w14:paraId="467C0A9A" w14:textId="77777777" w:rsidR="006F0672" w:rsidRPr="00FE7D9A" w:rsidRDefault="006F0672" w:rsidP="006F0672">
      <w:pPr>
        <w:rPr>
          <w:rFonts w:ascii="Tahoma" w:hAnsi="Tahoma" w:cs="Tahoma"/>
          <w:lang w:val="en-GB"/>
        </w:rPr>
      </w:pPr>
      <w:r w:rsidRPr="00FE7D9A">
        <w:rPr>
          <w:rFonts w:ascii="Tahoma" w:hAnsi="Tahoma" w:cs="Tahoma"/>
          <w:lang w:val="en-GB"/>
        </w:rPr>
        <w:t>Promotional effectiveness should also be evaluated to learn which campaigns truly drive unit sales, and which may need restructuring. Finally, exploring cross-sell opportunities—especially between Standard and Premium lines—could unlock additional revenue with minimal operational change.</w:t>
      </w:r>
    </w:p>
    <w:p w14:paraId="1FAF9FAC" w14:textId="77777777" w:rsidR="006F0672" w:rsidRPr="00FE7D9A" w:rsidRDefault="006F0672" w:rsidP="006F0672">
      <w:pPr>
        <w:rPr>
          <w:rFonts w:ascii="Tahoma" w:hAnsi="Tahoma" w:cs="Tahoma"/>
        </w:rPr>
      </w:pPr>
    </w:p>
    <w:p w14:paraId="257988D6" w14:textId="77777777" w:rsidR="002B1AD7" w:rsidRPr="006F0672" w:rsidRDefault="002B1AD7" w:rsidP="006F0672"/>
    <w:sectPr w:rsidR="002B1AD7" w:rsidRPr="006F0672" w:rsidSect="006F06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B0771"/>
    <w:multiLevelType w:val="multilevel"/>
    <w:tmpl w:val="74F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765204">
    <w:abstractNumId w:val="8"/>
  </w:num>
  <w:num w:numId="2" w16cid:durableId="1098673871">
    <w:abstractNumId w:val="6"/>
  </w:num>
  <w:num w:numId="3" w16cid:durableId="321668398">
    <w:abstractNumId w:val="5"/>
  </w:num>
  <w:num w:numId="4" w16cid:durableId="747075305">
    <w:abstractNumId w:val="4"/>
  </w:num>
  <w:num w:numId="5" w16cid:durableId="1105003866">
    <w:abstractNumId w:val="7"/>
  </w:num>
  <w:num w:numId="6" w16cid:durableId="582647760">
    <w:abstractNumId w:val="3"/>
  </w:num>
  <w:num w:numId="7" w16cid:durableId="228658232">
    <w:abstractNumId w:val="2"/>
  </w:num>
  <w:num w:numId="8" w16cid:durableId="130288740">
    <w:abstractNumId w:val="1"/>
  </w:num>
  <w:num w:numId="9" w16cid:durableId="1017343538">
    <w:abstractNumId w:val="0"/>
  </w:num>
  <w:num w:numId="10" w16cid:durableId="1150170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55EF"/>
    <w:rsid w:val="0029639D"/>
    <w:rsid w:val="002B1AD7"/>
    <w:rsid w:val="00326F90"/>
    <w:rsid w:val="003F73F2"/>
    <w:rsid w:val="006E53EF"/>
    <w:rsid w:val="006F0672"/>
    <w:rsid w:val="007511B5"/>
    <w:rsid w:val="00AA1D8D"/>
    <w:rsid w:val="00B47730"/>
    <w:rsid w:val="00CB0664"/>
    <w:rsid w:val="00D07056"/>
    <w:rsid w:val="00FC693F"/>
    <w:rsid w:val="00F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B10C6"/>
  <w14:defaultImageDpi w14:val="300"/>
  <w15:docId w15:val="{B6C0F1C1-1828-43EE-B051-7BD07D37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uis\Downloads\Data%20Technician%20Bootcamp\Week%201%20-%20Excel\Project%202%20-%20Cookies\Project2_Cookie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[Project2_Cookies.xlsx]Pivot- Revenue Trends!profitsumrevenuebymonthtable</c:name>
    <c:fmtId val="-1"/>
  </c:pivotSource>
  <c:chart>
    <c:autoTitleDeleted val="0"/>
    <c:pivotFmts>
      <c:pivotFmt>
        <c:idx val="0"/>
        <c:spPr>
          <a:solidFill>
            <a:srgbClr val="00B05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tx1">
              <a:alpha val="36000"/>
            </a:schemeClr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numFmt formatCode="#,##0;[Red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6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tx1">
              <a:alpha val="36000"/>
            </a:schemeClr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4"/>
        <c:spPr>
          <a:solidFill>
            <a:schemeClr val="tx1">
              <a:alpha val="36000"/>
            </a:schemeClr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5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6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7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8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9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0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dLbl>
          <c:idx val="0"/>
          <c:layout>
            <c:manualLayout>
              <c:x val="-2.3948509572992854E-3"/>
              <c:y val="-1.176470588235294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2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3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4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5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6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7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8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19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20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</c:pivotFmt>
      <c:pivotFmt>
        <c:idx val="21"/>
        <c:spPr>
          <a:solidFill>
            <a:srgbClr val="00B05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2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dLbl>
          <c:idx val="0"/>
          <c:layout>
            <c:manualLayout>
              <c:x val="-2.3948509572992854E-3"/>
              <c:y val="-1.176470588235294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4"/>
        <c:spPr>
          <a:solidFill>
            <a:schemeClr val="tx1">
              <a:alpha val="36000"/>
            </a:schemeClr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numFmt formatCode="#,##0;[Red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6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5"/>
        <c:spPr>
          <a:solidFill>
            <a:srgbClr val="00B05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7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6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7"/>
        <c:spPr>
          <a:solidFill>
            <a:srgbClr val="0070C0"/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dLbl>
          <c:idx val="0"/>
          <c:layout>
            <c:manualLayout>
              <c:x val="-2.3948509572992854E-3"/>
              <c:y val="-1.1764705882352941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8"/>
        <c:spPr>
          <a:solidFill>
            <a:schemeClr val="tx1">
              <a:alpha val="36000"/>
            </a:schemeClr>
          </a:solidFill>
          <a:ln>
            <a:noFill/>
          </a:ln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c:spPr>
        <c:marker>
          <c:symbol val="none"/>
        </c:marker>
        <c:dLbl>
          <c:idx val="0"/>
          <c:numFmt formatCode="#,##0;[Red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6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areaChart>
        <c:grouping val="stacked"/>
        <c:varyColors val="0"/>
        <c:ser>
          <c:idx val="0"/>
          <c:order val="0"/>
          <c:tx>
            <c:strRef>
              <c:f>'Pivot- Revenue Trends'!$B$1</c:f>
              <c:strCache>
                <c:ptCount val="1"/>
                <c:pt idx="0">
                  <c:v>Sum of Profit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>
              <a:outerShdw blurRad="63500" dist="25400" dir="5400000" algn="ctr" rotWithShape="0">
                <a:srgbClr val="000000">
                  <a:alpha val="69000"/>
                </a:srgbClr>
              </a:outerShdw>
            </a:effectLst>
            <a:scene3d>
              <a:camera prst="orthographicFront">
                <a:rot lat="0" lon="0" rev="0"/>
              </a:camera>
              <a:lightRig rig="balanced" dir="t">
                <a:rot lat="0" lon="0" rev="1200000"/>
              </a:lightRig>
            </a:scene3d>
            <a:sp3d prstMaterial="plastic">
              <a:bevelT w="25400" h="25400"/>
            </a:sp3d>
          </c:spP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'Pivot- Revenue Trends'!$A$2:$A$36</c:f>
              <c:multiLvlStrCache>
                <c:ptCount val="16"/>
                <c:lvl>
                  <c:pt idx="0">
                    <c:v>Sep</c:v>
                  </c:pt>
                  <c:pt idx="1">
                    <c:v>Oct</c:v>
                  </c:pt>
                  <c:pt idx="2">
                    <c:v>Nov</c:v>
                  </c:pt>
                  <c:pt idx="3">
                    <c:v>Dec</c:v>
                  </c:pt>
                  <c:pt idx="4">
                    <c:v>Jan</c:v>
                  </c:pt>
                  <c:pt idx="5">
                    <c:v>Feb</c:v>
                  </c:pt>
                  <c:pt idx="6">
                    <c:v>Mar</c:v>
                  </c:pt>
                  <c:pt idx="7">
                    <c:v>Apr</c:v>
                  </c:pt>
                  <c:pt idx="8">
                    <c:v>May</c:v>
                  </c:pt>
                  <c:pt idx="9">
                    <c:v>Jun</c:v>
                  </c:pt>
                  <c:pt idx="10">
                    <c:v>Jul</c:v>
                  </c:pt>
                  <c:pt idx="11">
                    <c:v>Aug</c:v>
                  </c:pt>
                  <c:pt idx="12">
                    <c:v>Sep</c:v>
                  </c:pt>
                  <c:pt idx="13">
                    <c:v>Oct</c:v>
                  </c:pt>
                  <c:pt idx="14">
                    <c:v>Nov</c:v>
                  </c:pt>
                  <c:pt idx="15">
                    <c:v>Dec</c:v>
                  </c:pt>
                </c:lvl>
                <c:lvl>
                  <c:pt idx="0">
                    <c:v>9</c:v>
                  </c:pt>
                  <c:pt idx="1">
                    <c:v>10</c:v>
                  </c:pt>
                  <c:pt idx="2">
                    <c:v>11</c:v>
                  </c:pt>
                  <c:pt idx="3">
                    <c:v>12</c:v>
                  </c:pt>
                  <c:pt idx="4">
                    <c:v>1</c:v>
                  </c:pt>
                  <c:pt idx="5">
                    <c:v>2</c:v>
                  </c:pt>
                  <c:pt idx="6">
                    <c:v>3</c:v>
                  </c:pt>
                  <c:pt idx="7">
                    <c:v>4</c:v>
                  </c:pt>
                  <c:pt idx="8">
                    <c:v>5</c:v>
                  </c:pt>
                  <c:pt idx="9">
                    <c:v>6</c:v>
                  </c:pt>
                  <c:pt idx="10">
                    <c:v>7</c:v>
                  </c:pt>
                  <c:pt idx="11">
                    <c:v>8</c:v>
                  </c:pt>
                  <c:pt idx="12">
                    <c:v>9</c:v>
                  </c:pt>
                  <c:pt idx="13">
                    <c:v>10</c:v>
                  </c:pt>
                  <c:pt idx="14">
                    <c:v>11</c:v>
                  </c:pt>
                  <c:pt idx="15">
                    <c:v>12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</c:lvl>
              </c:multiLvlStrCache>
            </c:multiLvlStrRef>
          </c:cat>
          <c:val>
            <c:numRef>
              <c:f>'Pivot- Revenue Trends'!$B$2:$B$36</c:f>
              <c:numCache>
                <c:formatCode>[$$-409]#,##0.00</c:formatCode>
                <c:ptCount val="16"/>
                <c:pt idx="0">
                  <c:v>124812.54999999999</c:v>
                </c:pt>
                <c:pt idx="1">
                  <c:v>228275.6</c:v>
                </c:pt>
                <c:pt idx="2">
                  <c:v>160228.25</c:v>
                </c:pt>
                <c:pt idx="3">
                  <c:v>136337.75</c:v>
                </c:pt>
                <c:pt idx="4">
                  <c:v>342635.20000000007</c:v>
                </c:pt>
                <c:pt idx="5">
                  <c:v>271936.5</c:v>
                </c:pt>
                <c:pt idx="6">
                  <c:v>258966.09999999998</c:v>
                </c:pt>
                <c:pt idx="7">
                  <c:v>393531.89999999997</c:v>
                </c:pt>
                <c:pt idx="8">
                  <c:v>253713.69999999995</c:v>
                </c:pt>
                <c:pt idx="9">
                  <c:v>501630.90000000008</c:v>
                </c:pt>
                <c:pt idx="10">
                  <c:v>347867.1</c:v>
                </c:pt>
                <c:pt idx="11">
                  <c:v>306714.39999999997</c:v>
                </c:pt>
                <c:pt idx="12">
                  <c:v>281931.09999999998</c:v>
                </c:pt>
                <c:pt idx="13">
                  <c:v>512422.09999999992</c:v>
                </c:pt>
                <c:pt idx="14">
                  <c:v>259217.69999999995</c:v>
                </c:pt>
                <c:pt idx="15">
                  <c:v>496853.89999999979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D5-4181-91EA-09C36B5F5A9F}"/>
            </c:ext>
          </c:extLst>
        </c:ser>
        <c:ser>
          <c:idx val="1"/>
          <c:order val="1"/>
          <c:tx>
            <c:strRef>
              <c:f>'Pivot- Revenue Trends'!$C$1</c:f>
              <c:strCache>
                <c:ptCount val="1"/>
                <c:pt idx="0">
                  <c:v>Sum of Revenue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>
              <a:outerShdw blurRad="63500" dist="25400" dir="5400000" algn="ctr" rotWithShape="0">
                <a:srgbClr val="000000">
                  <a:alpha val="69000"/>
                </a:srgbClr>
              </a:outerShdw>
            </a:effectLst>
            <a:scene3d>
              <a:camera prst="orthographicFront">
                <a:rot lat="0" lon="0" rev="0"/>
              </a:camera>
              <a:lightRig rig="balanced" dir="t">
                <a:rot lat="0" lon="0" rev="1200000"/>
              </a:lightRig>
            </a:scene3d>
            <a:sp3d prstMaterial="plastic">
              <a:bevelT w="25400" h="25400"/>
            </a:sp3d>
          </c:spPr>
          <c:dLbls>
            <c:dLbl>
              <c:idx val="5"/>
              <c:layout>
                <c:manualLayout>
                  <c:x val="-2.3948509572992854E-3"/>
                  <c:y val="-1.176470588235294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E8D5-4181-91EA-09C36B5F5A9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'Pivot- Revenue Trends'!$A$2:$A$36</c:f>
              <c:multiLvlStrCache>
                <c:ptCount val="16"/>
                <c:lvl>
                  <c:pt idx="0">
                    <c:v>Sep</c:v>
                  </c:pt>
                  <c:pt idx="1">
                    <c:v>Oct</c:v>
                  </c:pt>
                  <c:pt idx="2">
                    <c:v>Nov</c:v>
                  </c:pt>
                  <c:pt idx="3">
                    <c:v>Dec</c:v>
                  </c:pt>
                  <c:pt idx="4">
                    <c:v>Jan</c:v>
                  </c:pt>
                  <c:pt idx="5">
                    <c:v>Feb</c:v>
                  </c:pt>
                  <c:pt idx="6">
                    <c:v>Mar</c:v>
                  </c:pt>
                  <c:pt idx="7">
                    <c:v>Apr</c:v>
                  </c:pt>
                  <c:pt idx="8">
                    <c:v>May</c:v>
                  </c:pt>
                  <c:pt idx="9">
                    <c:v>Jun</c:v>
                  </c:pt>
                  <c:pt idx="10">
                    <c:v>Jul</c:v>
                  </c:pt>
                  <c:pt idx="11">
                    <c:v>Aug</c:v>
                  </c:pt>
                  <c:pt idx="12">
                    <c:v>Sep</c:v>
                  </c:pt>
                  <c:pt idx="13">
                    <c:v>Oct</c:v>
                  </c:pt>
                  <c:pt idx="14">
                    <c:v>Nov</c:v>
                  </c:pt>
                  <c:pt idx="15">
                    <c:v>Dec</c:v>
                  </c:pt>
                </c:lvl>
                <c:lvl>
                  <c:pt idx="0">
                    <c:v>9</c:v>
                  </c:pt>
                  <c:pt idx="1">
                    <c:v>10</c:v>
                  </c:pt>
                  <c:pt idx="2">
                    <c:v>11</c:v>
                  </c:pt>
                  <c:pt idx="3">
                    <c:v>12</c:v>
                  </c:pt>
                  <c:pt idx="4">
                    <c:v>1</c:v>
                  </c:pt>
                  <c:pt idx="5">
                    <c:v>2</c:v>
                  </c:pt>
                  <c:pt idx="6">
                    <c:v>3</c:v>
                  </c:pt>
                  <c:pt idx="7">
                    <c:v>4</c:v>
                  </c:pt>
                  <c:pt idx="8">
                    <c:v>5</c:v>
                  </c:pt>
                  <c:pt idx="9">
                    <c:v>6</c:v>
                  </c:pt>
                  <c:pt idx="10">
                    <c:v>7</c:v>
                  </c:pt>
                  <c:pt idx="11">
                    <c:v>8</c:v>
                  </c:pt>
                  <c:pt idx="12">
                    <c:v>9</c:v>
                  </c:pt>
                  <c:pt idx="13">
                    <c:v>10</c:v>
                  </c:pt>
                  <c:pt idx="14">
                    <c:v>11</c:v>
                  </c:pt>
                  <c:pt idx="15">
                    <c:v>12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</c:lvl>
              </c:multiLvlStrCache>
            </c:multiLvlStrRef>
          </c:cat>
          <c:val>
            <c:numRef>
              <c:f>'Pivot- Revenue Trends'!$C$2:$C$36</c:f>
              <c:numCache>
                <c:formatCode>[$$-409]#,##0.00</c:formatCode>
                <c:ptCount val="16"/>
                <c:pt idx="0">
                  <c:v>212076</c:v>
                </c:pt>
                <c:pt idx="1">
                  <c:v>386395</c:v>
                </c:pt>
                <c:pt idx="2">
                  <c:v>272112</c:v>
                </c:pt>
                <c:pt idx="3">
                  <c:v>232566</c:v>
                </c:pt>
                <c:pt idx="4">
                  <c:v>583706</c:v>
                </c:pt>
                <c:pt idx="5">
                  <c:v>463850</c:v>
                </c:pt>
                <c:pt idx="6">
                  <c:v>438142</c:v>
                </c:pt>
                <c:pt idx="7">
                  <c:v>666760</c:v>
                </c:pt>
                <c:pt idx="8">
                  <c:v>431732</c:v>
                </c:pt>
                <c:pt idx="9">
                  <c:v>853696</c:v>
                </c:pt>
                <c:pt idx="10">
                  <c:v>592342</c:v>
                </c:pt>
                <c:pt idx="11">
                  <c:v>523510</c:v>
                </c:pt>
                <c:pt idx="12">
                  <c:v>477548</c:v>
                </c:pt>
                <c:pt idx="13">
                  <c:v>869274</c:v>
                </c:pt>
                <c:pt idx="14">
                  <c:v>435758</c:v>
                </c:pt>
                <c:pt idx="15">
                  <c:v>838022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8D5-4181-91EA-09C36B5F5A9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143446240"/>
        <c:axId val="1143447200"/>
      </c:areaChart>
      <c:barChart>
        <c:barDir val="col"/>
        <c:grouping val="clustered"/>
        <c:varyColors val="0"/>
        <c:ser>
          <c:idx val="2"/>
          <c:order val="2"/>
          <c:tx>
            <c:strRef>
              <c:f>'Pivot- Revenue Trends'!$D$1</c:f>
              <c:strCache>
                <c:ptCount val="1"/>
                <c:pt idx="0">
                  <c:v>Sum of Units Solds (N)</c:v>
                </c:pt>
              </c:strCache>
            </c:strRef>
          </c:tx>
          <c:spPr>
            <a:solidFill>
              <a:schemeClr val="tx1">
                <a:alpha val="36000"/>
              </a:schemeClr>
            </a:solidFill>
            <a:ln>
              <a:noFill/>
            </a:ln>
            <a:effectLst>
              <a:outerShdw blurRad="63500" dist="25400" dir="5400000" algn="ctr" rotWithShape="0">
                <a:srgbClr val="000000">
                  <a:alpha val="69000"/>
                </a:srgbClr>
              </a:outerShdw>
            </a:effectLst>
            <a:scene3d>
              <a:camera prst="orthographicFront">
                <a:rot lat="0" lon="0" rev="0"/>
              </a:camera>
              <a:lightRig rig="balanced" dir="t">
                <a:rot lat="0" lon="0" rev="1200000"/>
              </a:lightRig>
            </a:scene3d>
            <a:sp3d prstMaterial="plastic">
              <a:bevelT w="25400" h="25400"/>
            </a:sp3d>
          </c:spPr>
          <c:invertIfNegative val="0"/>
          <c:dLbls>
            <c:numFmt formatCode="#,##0;[Red]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6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'Pivot- Revenue Trends'!$A$2:$A$36</c:f>
              <c:multiLvlStrCache>
                <c:ptCount val="16"/>
                <c:lvl>
                  <c:pt idx="0">
                    <c:v>Sep</c:v>
                  </c:pt>
                  <c:pt idx="1">
                    <c:v>Oct</c:v>
                  </c:pt>
                  <c:pt idx="2">
                    <c:v>Nov</c:v>
                  </c:pt>
                  <c:pt idx="3">
                    <c:v>Dec</c:v>
                  </c:pt>
                  <c:pt idx="4">
                    <c:v>Jan</c:v>
                  </c:pt>
                  <c:pt idx="5">
                    <c:v>Feb</c:v>
                  </c:pt>
                  <c:pt idx="6">
                    <c:v>Mar</c:v>
                  </c:pt>
                  <c:pt idx="7">
                    <c:v>Apr</c:v>
                  </c:pt>
                  <c:pt idx="8">
                    <c:v>May</c:v>
                  </c:pt>
                  <c:pt idx="9">
                    <c:v>Jun</c:v>
                  </c:pt>
                  <c:pt idx="10">
                    <c:v>Jul</c:v>
                  </c:pt>
                  <c:pt idx="11">
                    <c:v>Aug</c:v>
                  </c:pt>
                  <c:pt idx="12">
                    <c:v>Sep</c:v>
                  </c:pt>
                  <c:pt idx="13">
                    <c:v>Oct</c:v>
                  </c:pt>
                  <c:pt idx="14">
                    <c:v>Nov</c:v>
                  </c:pt>
                  <c:pt idx="15">
                    <c:v>Dec</c:v>
                  </c:pt>
                </c:lvl>
                <c:lvl>
                  <c:pt idx="0">
                    <c:v>9</c:v>
                  </c:pt>
                  <c:pt idx="1">
                    <c:v>10</c:v>
                  </c:pt>
                  <c:pt idx="2">
                    <c:v>11</c:v>
                  </c:pt>
                  <c:pt idx="3">
                    <c:v>12</c:v>
                  </c:pt>
                  <c:pt idx="4">
                    <c:v>1</c:v>
                  </c:pt>
                  <c:pt idx="5">
                    <c:v>2</c:v>
                  </c:pt>
                  <c:pt idx="6">
                    <c:v>3</c:v>
                  </c:pt>
                  <c:pt idx="7">
                    <c:v>4</c:v>
                  </c:pt>
                  <c:pt idx="8">
                    <c:v>5</c:v>
                  </c:pt>
                  <c:pt idx="9">
                    <c:v>6</c:v>
                  </c:pt>
                  <c:pt idx="10">
                    <c:v>7</c:v>
                  </c:pt>
                  <c:pt idx="11">
                    <c:v>8</c:v>
                  </c:pt>
                  <c:pt idx="12">
                    <c:v>9</c:v>
                  </c:pt>
                  <c:pt idx="13">
                    <c:v>10</c:v>
                  </c:pt>
                  <c:pt idx="14">
                    <c:v>11</c:v>
                  </c:pt>
                  <c:pt idx="15">
                    <c:v>12</c:v>
                  </c:pt>
                </c:lvl>
                <c:lvl>
                  <c:pt idx="0">
                    <c:v>2019</c:v>
                  </c:pt>
                  <c:pt idx="4">
                    <c:v>2020</c:v>
                  </c:pt>
                </c:lvl>
              </c:multiLvlStrCache>
            </c:multiLvlStrRef>
          </c:cat>
          <c:val>
            <c:numRef>
              <c:f>'Pivot- Revenue Trends'!$D$2:$D$36</c:f>
              <c:numCache>
                <c:formatCode>General</c:formatCode>
                <c:ptCount val="16"/>
                <c:pt idx="0">
                  <c:v>-50601</c:v>
                </c:pt>
                <c:pt idx="1">
                  <c:v>-95622</c:v>
                </c:pt>
                <c:pt idx="2">
                  <c:v>-65481</c:v>
                </c:pt>
                <c:pt idx="3">
                  <c:v>-52970</c:v>
                </c:pt>
                <c:pt idx="4">
                  <c:v>-135682</c:v>
                </c:pt>
                <c:pt idx="5">
                  <c:v>-110230</c:v>
                </c:pt>
                <c:pt idx="6">
                  <c:v>-106840</c:v>
                </c:pt>
                <c:pt idx="7">
                  <c:v>-157786</c:v>
                </c:pt>
                <c:pt idx="8">
                  <c:v>-103542</c:v>
                </c:pt>
                <c:pt idx="9">
                  <c:v>-206604</c:v>
                </c:pt>
                <c:pt idx="10">
                  <c:v>-138710</c:v>
                </c:pt>
                <c:pt idx="11">
                  <c:v>-121410</c:v>
                </c:pt>
                <c:pt idx="12">
                  <c:v>-114560</c:v>
                </c:pt>
                <c:pt idx="13">
                  <c:v>-210964</c:v>
                </c:pt>
                <c:pt idx="14">
                  <c:v>-111300</c:v>
                </c:pt>
                <c:pt idx="15">
                  <c:v>-204672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8D5-4181-91EA-09C36B5F5A9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143446240"/>
        <c:axId val="1143447200"/>
      </c:barChart>
      <c:catAx>
        <c:axId val="11434462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rgbClr val="FF0000">
                <a:alpha val="54000"/>
              </a:srgb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3447200"/>
        <c:crosses val="autoZero"/>
        <c:auto val="1"/>
        <c:lblAlgn val="ctr"/>
        <c:lblOffset val="100"/>
        <c:noMultiLvlLbl val="0"/>
      </c:catAx>
      <c:valAx>
        <c:axId val="1143447200"/>
        <c:scaling>
          <c:orientation val="minMax"/>
          <c:min val="-3000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3446240"/>
        <c:crosses val="autoZero"/>
        <c:crossBetween val="between"/>
        <c:majorUnit val="100000"/>
      </c:valAx>
      <c:spPr>
        <a:noFill/>
        <a:ln>
          <a:solidFill>
            <a:srgbClr val="FF0000"/>
          </a:solidFill>
        </a:ln>
        <a:effectLst/>
      </c:spPr>
    </c:plotArea>
    <c:legend>
      <c:legendPos val="r"/>
      <c:layout>
        <c:manualLayout>
          <c:xMode val="edge"/>
          <c:yMode val="edge"/>
          <c:x val="0.87210835889726734"/>
          <c:y val="0.44545545777366063"/>
          <c:w val="0.11352253535893725"/>
          <c:h val="0.1208537903350316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Parsons</dc:creator>
  <cp:keywords/>
  <dc:description/>
  <cp:lastModifiedBy>Louis Parsons</cp:lastModifiedBy>
  <cp:revision>3</cp:revision>
  <dcterms:created xsi:type="dcterms:W3CDTF">2025-11-23T21:02:00Z</dcterms:created>
  <dcterms:modified xsi:type="dcterms:W3CDTF">2025-11-23T21:08:00Z</dcterms:modified>
  <cp:category/>
</cp:coreProperties>
</file>