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276" w:lineRule="auto"/>
      </w:pPr>
      <w:r>
        <w:rPr>
          <w:b/>
          <w:color w:val="0F2A5C"/>
          <w:sz w:val="26"/>
        </w:rPr>
        <w:t>We chose Microservices Architecture for the Municipal Solid Waste Route Optimizer System.</w:t>
      </w:r>
    </w:p>
    <w:p>
      <w:pPr>
        <w:spacing w:before="60" w:after="40"/>
      </w:pPr>
      <w:r>
        <w:rPr>
          <w:b/>
          <w:color w:val="1E40AF"/>
          <w:sz w:val="21"/>
        </w:rPr>
        <w:t>1. Architectural Choice</w:t>
      </w:r>
    </w:p>
    <w:p>
      <w:pPr>
        <w:spacing w:before="0" w:after="100" w:line="264" w:lineRule="auto"/>
      </w:pPr>
      <w:r>
        <w:t>We adopted a Microservices Architecture decomposing the system into decoupled, independently deployable services (Sensor Data Ingestion Service, Route Optimization Service, Driver Manifest Service, and Complaint Management Service) coordinated via a unified API Gateway and communicating through purpose-fit protocols such as gRPC, REST, and MQTT.</w:t>
      </w:r>
    </w:p>
    <w:p>
      <w:pPr>
        <w:spacing w:before="60" w:after="40"/>
      </w:pPr>
      <w:r>
        <w:rPr>
          <w:b/>
          <w:color w:val="1E40AF"/>
          <w:sz w:val="21"/>
        </w:rPr>
        <w:t>2. Two Scenario-Related Reasons</w:t>
      </w:r>
    </w:p>
    <w:p>
      <w:pPr>
        <w:spacing w:before="0" w:after="60" w:line="264" w:lineRule="auto"/>
      </w:pPr>
      <w:r>
        <w:rPr>
          <w:b/>
        </w:rPr>
        <w:t xml:space="preserve">• Independent Scaling for Strict Computational SLAs: </w:t>
      </w:r>
      <w:r>
        <w:t>Recalculating dynamic routes for 50 collection trucks across 10,000 bins in under 45 seconds (filtering only bins over 80% full) demands intensive combinatorial optimization. Microservices enable the Route Optimization Service to scale out independently on compute-heavy nodes during peak morning dispatch without over-allocating resources to idle services.</w:t>
      </w:r>
    </w:p>
    <w:p>
      <w:pPr>
        <w:spacing w:before="0" w:after="100" w:line="264" w:lineRule="auto"/>
      </w:pPr>
      <w:r>
        <w:rPr>
          <w:b/>
        </w:rPr>
        <w:t xml:space="preserve">• Fault Isolation Across High-Throughput Streams: </w:t>
      </w:r>
      <w:r>
        <w:t>Continuous high-frequency ultrasonic telemetry from 10,000 bins and sudden surges in citizen missed-pickup reports are isolated from core route planning. Network bottlenecks or memory crashes in sensor ingestion cannot cascade to degrade truck driver manifest navigation or dispatch operations.</w:t>
      </w:r>
    </w:p>
    <w:p>
      <w:pPr>
        <w:spacing w:before="60" w:after="40"/>
      </w:pPr>
      <w:r>
        <w:rPr>
          <w:b/>
          <w:color w:val="1E40AF"/>
          <w:sz w:val="21"/>
        </w:rPr>
        <w:t>3. Security Advantage</w:t>
      </w:r>
    </w:p>
    <w:p>
      <w:pPr>
        <w:spacing w:before="0" w:after="100" w:line="264" w:lineRule="auto"/>
      </w:pPr>
      <w:r>
        <w:t>A centralized API Gateway enforces edge TLS termination, rate limiting, and role-based access control (RBAC) across Supervisors, Drivers, and Citizens. Network segmentation and isolated database credentials ensure that even if the public-facing Complaint Management Service were compromised, the internal fleet dispatch manifest and core routing databases remain completely protected.</w:t>
      </w:r>
    </w:p>
    <w:p>
      <w:pPr>
        <w:spacing w:before="60" w:after="40"/>
      </w:pPr>
      <w:r>
        <w:rPr>
          <w:b/>
          <w:color w:val="1E40AF"/>
          <w:sz w:val="21"/>
        </w:rPr>
        <w:t>4. Performance Benefit</w:t>
      </w:r>
    </w:p>
    <w:p>
      <w:pPr>
        <w:spacing w:before="0" w:after="120" w:line="264" w:lineRule="auto"/>
      </w:pPr>
      <w:r>
        <w:t>Heterogeneous protocol optimization maximizes throughput across workloads: lightweight MQTT provides low-overhead sensor telemetry streaming, low-latency binary gRPC accelerates internal dispatch-to-optimizer calls to beat the 45-second deadline, and WebSocket streams push real-time turn-by-turn route manifests directly to drivers without continuous HTTP polling.</w:t>
      </w:r>
    </w:p>
    <w:p>
      <w:pPr>
        <w:spacing w:before="60" w:after="60"/>
      </w:pPr>
      <w:r>
        <w:rPr>
          <w:b/>
          <w:color w:val="1E40AF"/>
          <w:sz w:val="21"/>
        </w:rPr>
        <w:t>5. Architectural Pattern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E40A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Architecture Pattern</w:t>
            </w:r>
          </w:p>
        </w:tc>
        <w:tc>
          <w:tcPr>
            <w:tcW w:type="dxa" w:w="3888"/>
            <w:shd w:fill="1E40A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Scalability &amp; Latency (45s Target)</w:t>
            </w:r>
          </w:p>
        </w:tc>
        <w:tc>
          <w:tcPr>
            <w:tcW w:type="dxa" w:w="4176"/>
            <w:shd w:fill="1E40A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Fault Isolation &amp; Resilience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F172A"/>
                <w:sz w:val="16"/>
              </w:rPr>
              <w:t>Layered (N-Tier)</w:t>
            </w:r>
          </w:p>
        </w:tc>
        <w:tc>
          <w:tcPr>
            <w:tcW w:type="dxa" w:w="3888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  <w:t>All layers deploy together; heavy routing compute slows presentation and ingestion threads, risking the 45s SLA.</w:t>
            </w:r>
          </w:p>
        </w:tc>
        <w:tc>
          <w:tcPr>
            <w:tcW w:type="dxa" w:w="417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  <w:t>Monolithic failure domain: a memory leak or crash in sensor ingestion brings down the entire dispatch application.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F172A"/>
                <w:sz w:val="16"/>
              </w:rPr>
              <w:t>Client-Server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  <w:t>Server forms a monolithic bottleneck for 10,000 continuous telemetry feeds and complex VRP solving.</w:t>
            </w:r>
          </w:p>
        </w:tc>
        <w:tc>
          <w:tcPr>
            <w:tcW w:type="dxa" w:w="41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  <w:t>Coupled backend: citizen complaint spikes directly compete for resources with operational truck route updates.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F172A"/>
                <w:sz w:val="16"/>
              </w:rPr>
              <w:t>Microservices (Selected)</w:t>
            </w:r>
          </w:p>
        </w:tc>
        <w:tc>
          <w:tcPr>
            <w:tcW w:type="dxa" w:w="3888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  <w:t>Route Optimizer scales horizontally on dedicated compute workers to guarantee sub-45s route calculation.</w:t>
            </w:r>
          </w:p>
        </w:tc>
        <w:tc>
          <w:tcPr>
            <w:tcW w:type="dxa" w:w="417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  <w:t>Independent failure boundaries: sensor surges or portal errors never interrupt active truck driver navigation.</w:t>
            </w:r>
          </w:p>
        </w:tc>
      </w:tr>
    </w:tbl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