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0" w:type="auto"/>
        <w:tblLook w:val="04A0" w:firstRow="1" w:lastRow="0" w:firstColumn="1" w:lastColumn="0" w:noHBand="0" w:noVBand="1"/>
      </w:tblPr>
      <w:tblGrid>
        <w:gridCol w:w="2097"/>
        <w:gridCol w:w="3641"/>
        <w:gridCol w:w="3838"/>
      </w:tblGrid>
      <w:tr w:rsidR="00D82871" w:rsidRPr="00CD2CC3" w:rsidTr="006E723A">
        <w:tc>
          <w:tcPr>
            <w:tcW w:w="2097" w:type="dxa"/>
          </w:tcPr>
          <w:p w:rsidR="00D82871" w:rsidRPr="00CD2CC3" w:rsidRDefault="00D82871" w:rsidP="006E723A">
            <w:pPr>
              <w:bidi/>
              <w:rPr>
                <w:rFonts w:cs="B Nazanin"/>
                <w:szCs w:val="28"/>
                <w:rtl/>
                <w:lang w:bidi="fa-IR"/>
              </w:rPr>
            </w:pPr>
            <w:bookmarkStart w:id="0" w:name="_GoBack"/>
            <w:r w:rsidRPr="00CD2CC3">
              <w:rPr>
                <w:rFonts w:cs="B Nazanin" w:hint="cs"/>
                <w:szCs w:val="28"/>
                <w:rtl/>
                <w:lang w:bidi="fa-IR"/>
              </w:rPr>
              <w:t xml:space="preserve">نام مورد کاربری: </w:t>
            </w:r>
          </w:p>
        </w:tc>
        <w:tc>
          <w:tcPr>
            <w:tcW w:w="7479" w:type="dxa"/>
            <w:gridSpan w:val="2"/>
          </w:tcPr>
          <w:p w:rsidR="00D82871" w:rsidRPr="00CD2CC3" w:rsidRDefault="006F28BE" w:rsidP="00EF5003">
            <w:pPr>
              <w:bidi/>
              <w:rPr>
                <w:rFonts w:cs="B Nazanin"/>
                <w:szCs w:val="28"/>
                <w:rtl/>
                <w:lang w:bidi="fa-IR"/>
              </w:rPr>
            </w:pPr>
            <w:r w:rsidRPr="00CD2CC3">
              <w:rPr>
                <w:rFonts w:cs="B Nazanin" w:hint="cs"/>
                <w:szCs w:val="28"/>
                <w:rtl/>
                <w:lang w:bidi="fa-IR"/>
              </w:rPr>
              <w:t>تسویه حساب</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شماره:</w:t>
            </w:r>
          </w:p>
        </w:tc>
        <w:tc>
          <w:tcPr>
            <w:tcW w:w="7479" w:type="dxa"/>
            <w:gridSpan w:val="2"/>
          </w:tcPr>
          <w:p w:rsidR="00D82871" w:rsidRPr="00CD2CC3" w:rsidRDefault="00503693" w:rsidP="00EF5003">
            <w:pPr>
              <w:bidi/>
              <w:rPr>
                <w:rFonts w:cs="B Nazanin"/>
                <w:szCs w:val="28"/>
                <w:rtl/>
                <w:lang w:bidi="fa-IR"/>
              </w:rPr>
            </w:pPr>
            <w:r w:rsidRPr="00CD2CC3">
              <w:rPr>
                <w:rFonts w:cs="B Nazanin"/>
                <w:szCs w:val="28"/>
                <w:lang w:bidi="fa-IR"/>
              </w:rPr>
              <w:t>UUL</w:t>
            </w:r>
            <w:r w:rsidR="003713DF" w:rsidRPr="00CD2CC3">
              <w:rPr>
                <w:rFonts w:cs="B Nazanin"/>
                <w:szCs w:val="28"/>
                <w:lang w:bidi="fa-IR"/>
              </w:rPr>
              <w:t>-114</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الویت:</w:t>
            </w:r>
          </w:p>
        </w:tc>
        <w:tc>
          <w:tcPr>
            <w:tcW w:w="7479" w:type="dxa"/>
            <w:gridSpan w:val="2"/>
          </w:tcPr>
          <w:p w:rsidR="00D82871" w:rsidRPr="00CD2CC3" w:rsidRDefault="00F979BC" w:rsidP="00EF5003">
            <w:pPr>
              <w:bidi/>
              <w:rPr>
                <w:rFonts w:cs="B Nazanin"/>
                <w:szCs w:val="28"/>
                <w:rtl/>
                <w:lang w:bidi="fa-IR"/>
              </w:rPr>
            </w:pPr>
            <w:r w:rsidRPr="00CD2CC3">
              <w:rPr>
                <w:rFonts w:cs="B Nazanin" w:hint="cs"/>
                <w:szCs w:val="28"/>
                <w:rtl/>
                <w:lang w:bidi="fa-IR"/>
              </w:rPr>
              <w:t>بالا</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منبع:</w:t>
            </w:r>
          </w:p>
        </w:tc>
        <w:tc>
          <w:tcPr>
            <w:tcW w:w="7479" w:type="dxa"/>
            <w:gridSpan w:val="2"/>
          </w:tcPr>
          <w:p w:rsidR="00D82871" w:rsidRPr="00CD2CC3" w:rsidRDefault="006F28BE" w:rsidP="00EF5003">
            <w:pPr>
              <w:bidi/>
              <w:rPr>
                <w:rFonts w:cs="B Nazanin"/>
                <w:szCs w:val="28"/>
                <w:lang w:bidi="fa-IR"/>
              </w:rPr>
            </w:pPr>
            <w:r w:rsidRPr="00CD2CC3">
              <w:rPr>
                <w:rFonts w:cs="B Nazanin"/>
                <w:szCs w:val="28"/>
                <w:lang w:bidi="fa-IR"/>
              </w:rPr>
              <w:t>R-1105</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کاربر اصلی سازمان:</w:t>
            </w:r>
          </w:p>
        </w:tc>
        <w:tc>
          <w:tcPr>
            <w:tcW w:w="7479" w:type="dxa"/>
            <w:gridSpan w:val="2"/>
          </w:tcPr>
          <w:p w:rsidR="00D82871" w:rsidRPr="00CD2CC3" w:rsidRDefault="002B2F8D" w:rsidP="00EF5003">
            <w:pPr>
              <w:bidi/>
              <w:rPr>
                <w:rFonts w:cs="B Nazanin"/>
                <w:szCs w:val="28"/>
                <w:rtl/>
                <w:lang w:bidi="fa-IR"/>
              </w:rPr>
            </w:pPr>
            <w:r w:rsidRPr="00CD2CC3">
              <w:rPr>
                <w:rFonts w:cs="B Nazanin" w:hint="cs"/>
                <w:szCs w:val="28"/>
                <w:rtl/>
                <w:lang w:bidi="fa-IR"/>
              </w:rPr>
              <w:t>متصدی کتابخانه</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کاربر اصلی سیستمی:</w:t>
            </w:r>
          </w:p>
        </w:tc>
        <w:tc>
          <w:tcPr>
            <w:tcW w:w="7479" w:type="dxa"/>
            <w:gridSpan w:val="2"/>
          </w:tcPr>
          <w:p w:rsidR="00D82871" w:rsidRPr="00CD2CC3" w:rsidRDefault="002B2F8D" w:rsidP="00EF5003">
            <w:pPr>
              <w:bidi/>
              <w:rPr>
                <w:rFonts w:cs="B Nazanin"/>
                <w:szCs w:val="28"/>
                <w:rtl/>
                <w:lang w:bidi="fa-IR"/>
              </w:rPr>
            </w:pPr>
            <w:r w:rsidRPr="00CD2CC3">
              <w:rPr>
                <w:rFonts w:cs="B Nazanin" w:hint="cs"/>
                <w:szCs w:val="28"/>
                <w:rtl/>
                <w:lang w:bidi="fa-IR"/>
              </w:rPr>
              <w:t>متصدی کتابخانه</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سایر مشارکت کنندگان:</w:t>
            </w:r>
          </w:p>
        </w:tc>
        <w:tc>
          <w:tcPr>
            <w:tcW w:w="7479" w:type="dxa"/>
            <w:gridSpan w:val="2"/>
          </w:tcPr>
          <w:p w:rsidR="008318CA" w:rsidRPr="00CD2CC3" w:rsidRDefault="008318CA" w:rsidP="008318CA">
            <w:pPr>
              <w:bidi/>
              <w:rPr>
                <w:rFonts w:cs="B Nazanin"/>
                <w:szCs w:val="28"/>
                <w:lang w:bidi="fa-IR"/>
              </w:rPr>
            </w:pPr>
            <w:r w:rsidRPr="00CD2CC3">
              <w:rPr>
                <w:rFonts w:cs="B Nazanin" w:hint="cs"/>
                <w:szCs w:val="28"/>
                <w:rtl/>
                <w:lang w:bidi="fa-IR"/>
              </w:rPr>
              <w:t>دانشجو</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سایر دست اندرکاران ذینفع:</w:t>
            </w:r>
          </w:p>
        </w:tc>
        <w:tc>
          <w:tcPr>
            <w:tcW w:w="7479" w:type="dxa"/>
            <w:gridSpan w:val="2"/>
          </w:tcPr>
          <w:p w:rsidR="00D82871" w:rsidRPr="00CD2CC3" w:rsidRDefault="00D82871" w:rsidP="00EF5003">
            <w:pPr>
              <w:bidi/>
              <w:rPr>
                <w:rFonts w:cs="B Nazanin"/>
                <w:szCs w:val="28"/>
                <w:rtl/>
                <w:lang w:bidi="fa-IR"/>
              </w:rPr>
            </w:pP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شرح:</w:t>
            </w:r>
          </w:p>
        </w:tc>
        <w:tc>
          <w:tcPr>
            <w:tcW w:w="7479" w:type="dxa"/>
            <w:gridSpan w:val="2"/>
          </w:tcPr>
          <w:p w:rsidR="00D82871" w:rsidRPr="00CD2CC3" w:rsidRDefault="003713DF" w:rsidP="00EF5003">
            <w:pPr>
              <w:bidi/>
              <w:rPr>
                <w:rFonts w:cs="B Nazanin"/>
                <w:szCs w:val="28"/>
                <w:rtl/>
                <w:lang w:bidi="fa-IR"/>
              </w:rPr>
            </w:pPr>
            <w:r w:rsidRPr="00CD2CC3">
              <w:rPr>
                <w:rFonts w:cs="B Nazanin" w:hint="cs"/>
                <w:szCs w:val="28"/>
                <w:rtl/>
                <w:lang w:bidi="fa-IR"/>
              </w:rPr>
              <w:t>هنگام فارق التحصیل شدن دانشجو،باید با قسمت های مختلف دانشگاه تسویه حساب کند.یکی از این قسمت ها کتابخانه است.متصدی امانت با مشاهده سوابق دانشجو،اگر دانشجو کتابی را تحویل نداشته باشد یا جریمه داشته باشد،باید آنرا تسویه کند.</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پیش شرطها:</w:t>
            </w:r>
          </w:p>
        </w:tc>
        <w:tc>
          <w:tcPr>
            <w:tcW w:w="7479" w:type="dxa"/>
            <w:gridSpan w:val="2"/>
          </w:tcPr>
          <w:p w:rsidR="00D82871" w:rsidRPr="00CD2CC3" w:rsidRDefault="003713DF" w:rsidP="00EF5003">
            <w:pPr>
              <w:bidi/>
              <w:rPr>
                <w:rFonts w:cs="B Nazanin"/>
                <w:szCs w:val="28"/>
                <w:rtl/>
                <w:lang w:bidi="fa-IR"/>
              </w:rPr>
            </w:pPr>
            <w:r w:rsidRPr="00CD2CC3">
              <w:rPr>
                <w:rFonts w:cs="B Nazanin" w:hint="cs"/>
                <w:szCs w:val="28"/>
                <w:rtl/>
                <w:lang w:bidi="fa-IR"/>
              </w:rPr>
              <w:t>دانشجو باید دانشجوی آن دانشگاه و عضو کتابخانه باشد.</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محرک (راه انداز):</w:t>
            </w:r>
          </w:p>
        </w:tc>
        <w:tc>
          <w:tcPr>
            <w:tcW w:w="7479" w:type="dxa"/>
            <w:gridSpan w:val="2"/>
          </w:tcPr>
          <w:p w:rsidR="00D82871" w:rsidRPr="00CD2CC3" w:rsidRDefault="003713DF" w:rsidP="00EF5003">
            <w:pPr>
              <w:bidi/>
              <w:rPr>
                <w:rFonts w:cs="B Nazanin"/>
                <w:szCs w:val="28"/>
                <w:rtl/>
                <w:lang w:bidi="fa-IR"/>
              </w:rPr>
            </w:pPr>
            <w:r w:rsidRPr="00CD2CC3">
              <w:rPr>
                <w:rFonts w:cs="B Nazanin" w:hint="cs"/>
                <w:szCs w:val="28"/>
                <w:rtl/>
                <w:lang w:bidi="fa-IR"/>
              </w:rPr>
              <w:t>دانشجو فارق التحصیل شود.</w:t>
            </w:r>
          </w:p>
        </w:tc>
      </w:tr>
      <w:tr w:rsidR="00D82871" w:rsidRPr="00CD2CC3" w:rsidTr="006E723A">
        <w:trPr>
          <w:trHeight w:val="135"/>
        </w:trPr>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جریان اصلی (عادی) رویداد:</w:t>
            </w:r>
          </w:p>
        </w:tc>
        <w:tc>
          <w:tcPr>
            <w:tcW w:w="7479" w:type="dxa"/>
            <w:gridSpan w:val="2"/>
            <w:tcBorders>
              <w:bottom w:val="single" w:sz="4" w:space="0" w:color="auto"/>
            </w:tcBorders>
          </w:tcPr>
          <w:p w:rsidR="00D82871" w:rsidRPr="00CD2CC3" w:rsidRDefault="00D82871" w:rsidP="00EF5003">
            <w:pPr>
              <w:bidi/>
              <w:rPr>
                <w:rFonts w:cs="B Nazanin"/>
                <w:szCs w:val="28"/>
                <w:rtl/>
                <w:lang w:bidi="fa-IR"/>
              </w:rPr>
            </w:pPr>
          </w:p>
        </w:tc>
      </w:tr>
      <w:tr w:rsidR="00D82871" w:rsidRPr="00CD2CC3" w:rsidTr="006E723A">
        <w:trPr>
          <w:trHeight w:val="135"/>
        </w:trPr>
        <w:tc>
          <w:tcPr>
            <w:tcW w:w="2097" w:type="dxa"/>
            <w:vMerge w:val="restart"/>
          </w:tcPr>
          <w:p w:rsidR="00D82871" w:rsidRPr="00CD2CC3" w:rsidRDefault="00D82871" w:rsidP="006E723A">
            <w:pPr>
              <w:bidi/>
              <w:rPr>
                <w:rFonts w:cs="B Nazanin"/>
                <w:szCs w:val="28"/>
                <w:rtl/>
                <w:lang w:bidi="fa-IR"/>
              </w:rPr>
            </w:pPr>
          </w:p>
        </w:tc>
        <w:tc>
          <w:tcPr>
            <w:tcW w:w="3641" w:type="dxa"/>
            <w:tcBorders>
              <w:bottom w:val="single" w:sz="4" w:space="0" w:color="auto"/>
              <w:right w:val="single" w:sz="4" w:space="0" w:color="auto"/>
            </w:tcBorders>
          </w:tcPr>
          <w:p w:rsidR="00D82871" w:rsidRPr="00CD2CC3" w:rsidRDefault="00D82871" w:rsidP="00EF5003">
            <w:pPr>
              <w:bidi/>
              <w:jc w:val="center"/>
              <w:rPr>
                <w:rFonts w:cs="B Nazanin"/>
                <w:sz w:val="28"/>
                <w:szCs w:val="28"/>
                <w:highlight w:val="darkBlue"/>
                <w:rtl/>
                <w:lang w:bidi="fa-IR"/>
              </w:rPr>
            </w:pPr>
            <w:r w:rsidRPr="00CD2CC3">
              <w:rPr>
                <w:rFonts w:cs="B Nazanin" w:hint="cs"/>
                <w:sz w:val="28"/>
                <w:szCs w:val="28"/>
                <w:rtl/>
                <w:lang w:bidi="fa-IR"/>
              </w:rPr>
              <w:t>عمل کاربر</w:t>
            </w:r>
          </w:p>
        </w:tc>
        <w:tc>
          <w:tcPr>
            <w:tcW w:w="3838" w:type="dxa"/>
            <w:tcBorders>
              <w:left w:val="single" w:sz="4" w:space="0" w:color="auto"/>
              <w:bottom w:val="single" w:sz="4" w:space="0" w:color="auto"/>
            </w:tcBorders>
          </w:tcPr>
          <w:p w:rsidR="00D82871" w:rsidRPr="00CD2CC3" w:rsidRDefault="00D82871" w:rsidP="00EF5003">
            <w:pPr>
              <w:bidi/>
              <w:jc w:val="center"/>
              <w:rPr>
                <w:rFonts w:cs="B Nazanin"/>
                <w:sz w:val="28"/>
                <w:szCs w:val="28"/>
                <w:highlight w:val="darkBlue"/>
                <w:rtl/>
                <w:lang w:bidi="fa-IR"/>
              </w:rPr>
            </w:pPr>
            <w:r w:rsidRPr="00CD2CC3">
              <w:rPr>
                <w:rFonts w:cs="B Nazanin" w:hint="cs"/>
                <w:sz w:val="28"/>
                <w:szCs w:val="28"/>
                <w:rtl/>
                <w:lang w:bidi="fa-IR"/>
              </w:rPr>
              <w:t>عکس العمل (پاسخ) سیستم</w:t>
            </w:r>
          </w:p>
        </w:tc>
      </w:tr>
      <w:tr w:rsidR="00D82871" w:rsidRPr="00CD2CC3" w:rsidTr="006E723A">
        <w:trPr>
          <w:trHeight w:val="245"/>
        </w:trPr>
        <w:tc>
          <w:tcPr>
            <w:tcW w:w="2097" w:type="dxa"/>
            <w:vMerge/>
          </w:tcPr>
          <w:p w:rsidR="00D82871" w:rsidRPr="00CD2CC3" w:rsidRDefault="00D82871" w:rsidP="006E723A">
            <w:pPr>
              <w:bidi/>
              <w:rPr>
                <w:rFonts w:cs="B Nazanin"/>
                <w:szCs w:val="28"/>
                <w:rtl/>
                <w:lang w:bidi="fa-IR"/>
              </w:rPr>
            </w:pPr>
          </w:p>
        </w:tc>
        <w:tc>
          <w:tcPr>
            <w:tcW w:w="3641" w:type="dxa"/>
            <w:tcBorders>
              <w:top w:val="single" w:sz="4" w:space="0" w:color="auto"/>
              <w:right w:val="single" w:sz="4" w:space="0" w:color="auto"/>
            </w:tcBorders>
          </w:tcPr>
          <w:p w:rsidR="00D82871" w:rsidRPr="00CD2CC3" w:rsidRDefault="001F7311" w:rsidP="003713DF">
            <w:pPr>
              <w:bidi/>
              <w:rPr>
                <w:rFonts w:cs="B Nazanin"/>
                <w:szCs w:val="28"/>
                <w:rtl/>
                <w:lang w:bidi="fa-IR"/>
              </w:rPr>
            </w:pPr>
            <w:r w:rsidRPr="00CD2CC3">
              <w:rPr>
                <w:rFonts w:cs="B Nazanin" w:hint="cs"/>
                <w:szCs w:val="28"/>
                <w:rtl/>
                <w:lang w:bidi="fa-IR"/>
              </w:rPr>
              <w:t>گام1:</w:t>
            </w:r>
            <w:r w:rsidR="003713DF" w:rsidRPr="00CD2CC3">
              <w:rPr>
                <w:rFonts w:cs="B Nazanin" w:hint="cs"/>
                <w:szCs w:val="28"/>
                <w:rtl/>
                <w:lang w:bidi="fa-IR"/>
              </w:rPr>
              <w:t>دانشجو فارق التحصیل میشود و برای گرفتن امضا و تسویه حساب به کتابخانه مراجعه میکند.</w:t>
            </w:r>
          </w:p>
          <w:p w:rsidR="0010473A" w:rsidRPr="00CD2CC3" w:rsidRDefault="0010473A" w:rsidP="0010473A">
            <w:pPr>
              <w:bidi/>
              <w:rPr>
                <w:rFonts w:cs="B Nazanin"/>
                <w:szCs w:val="28"/>
                <w:rtl/>
                <w:lang w:bidi="fa-IR"/>
              </w:rPr>
            </w:pPr>
            <w:r w:rsidRPr="00CD2CC3">
              <w:rPr>
                <w:rFonts w:cs="B Nazanin" w:hint="cs"/>
                <w:szCs w:val="28"/>
                <w:rtl/>
                <w:lang w:bidi="fa-IR"/>
              </w:rPr>
              <w:t>گام 3:دانشجو اگر کتابی را تحویل نداده باشد یا جریمه داشته باشد،باید ابتدا آن را پرداخت کند.</w:t>
            </w:r>
          </w:p>
        </w:tc>
        <w:tc>
          <w:tcPr>
            <w:tcW w:w="3838" w:type="dxa"/>
            <w:tcBorders>
              <w:top w:val="single" w:sz="4" w:space="0" w:color="auto"/>
              <w:left w:val="single" w:sz="4" w:space="0" w:color="auto"/>
            </w:tcBorders>
          </w:tcPr>
          <w:p w:rsidR="00D82871" w:rsidRPr="00CD2CC3" w:rsidRDefault="00472F73" w:rsidP="003713DF">
            <w:pPr>
              <w:bidi/>
              <w:rPr>
                <w:rFonts w:cs="B Nazanin"/>
                <w:szCs w:val="28"/>
                <w:rtl/>
                <w:lang w:bidi="fa-IR"/>
              </w:rPr>
            </w:pPr>
            <w:r w:rsidRPr="00CD2CC3">
              <w:rPr>
                <w:rFonts w:cs="B Nazanin" w:hint="cs"/>
                <w:szCs w:val="28"/>
                <w:rtl/>
                <w:lang w:bidi="fa-IR"/>
              </w:rPr>
              <w:t>گام 2:</w:t>
            </w:r>
            <w:r w:rsidR="003713DF" w:rsidRPr="00CD2CC3">
              <w:rPr>
                <w:rFonts w:cs="B Nazanin" w:hint="cs"/>
                <w:szCs w:val="28"/>
                <w:rtl/>
                <w:lang w:bidi="fa-IR"/>
              </w:rPr>
              <w:t>متصدی امانت با وارد کردن شماره دا</w:t>
            </w:r>
            <w:r w:rsidR="0010473A" w:rsidRPr="00CD2CC3">
              <w:rPr>
                <w:rFonts w:cs="B Nazanin" w:hint="cs"/>
                <w:szCs w:val="28"/>
                <w:rtl/>
                <w:lang w:bidi="fa-IR"/>
              </w:rPr>
              <w:t>نشجویی دانشجو در سیستم سوابق دانشجو را مشاهده میکند.</w:t>
            </w:r>
            <w:r w:rsidR="003713DF" w:rsidRPr="00CD2CC3">
              <w:rPr>
                <w:rFonts w:cs="B Nazanin"/>
                <w:szCs w:val="28"/>
                <w:rtl/>
                <w:lang w:bidi="fa-IR"/>
              </w:rPr>
              <w:t xml:space="preserve"> </w:t>
            </w:r>
          </w:p>
          <w:p w:rsidR="0010473A" w:rsidRPr="00CD2CC3" w:rsidRDefault="0010473A" w:rsidP="0010473A">
            <w:pPr>
              <w:bidi/>
              <w:rPr>
                <w:rFonts w:cs="B Nazanin"/>
                <w:szCs w:val="28"/>
                <w:rtl/>
                <w:lang w:bidi="fa-IR"/>
              </w:rPr>
            </w:pPr>
            <w:r w:rsidRPr="00CD2CC3">
              <w:rPr>
                <w:rFonts w:cs="B Nazanin" w:hint="cs"/>
                <w:szCs w:val="28"/>
                <w:rtl/>
                <w:lang w:bidi="fa-IR"/>
              </w:rPr>
              <w:t>گام 4: متصدی در صورت نبود مشکل فرم تسویه حساب دانشجو را امضا میکند.</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جریان فرعی (جایگزین):</w:t>
            </w:r>
          </w:p>
        </w:tc>
        <w:tc>
          <w:tcPr>
            <w:tcW w:w="7479" w:type="dxa"/>
            <w:gridSpan w:val="2"/>
          </w:tcPr>
          <w:p w:rsidR="00F77B38" w:rsidRPr="00CD2CC3" w:rsidRDefault="00F77B38" w:rsidP="00D1668D">
            <w:pPr>
              <w:bidi/>
              <w:rPr>
                <w:rFonts w:cs="B Nazanin"/>
                <w:szCs w:val="28"/>
                <w:rtl/>
                <w:lang w:bidi="fa-IR"/>
              </w:rPr>
            </w:pP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اتمام(نتیجه):</w:t>
            </w:r>
          </w:p>
        </w:tc>
        <w:tc>
          <w:tcPr>
            <w:tcW w:w="7479" w:type="dxa"/>
            <w:gridSpan w:val="2"/>
          </w:tcPr>
          <w:p w:rsidR="00D82871" w:rsidRPr="00CD2CC3" w:rsidRDefault="00D1668D" w:rsidP="00EF5003">
            <w:pPr>
              <w:bidi/>
              <w:rPr>
                <w:rFonts w:cs="B Nazanin"/>
                <w:szCs w:val="28"/>
                <w:rtl/>
                <w:lang w:bidi="fa-IR"/>
              </w:rPr>
            </w:pPr>
            <w:r w:rsidRPr="00CD2CC3">
              <w:rPr>
                <w:rFonts w:cs="B Nazanin" w:hint="cs"/>
                <w:szCs w:val="28"/>
                <w:rtl/>
                <w:lang w:bidi="fa-IR"/>
              </w:rPr>
              <w:t>دانشجو تسویه حساب میشود.</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پس شرط:</w:t>
            </w:r>
          </w:p>
        </w:tc>
        <w:tc>
          <w:tcPr>
            <w:tcW w:w="7479" w:type="dxa"/>
            <w:gridSpan w:val="2"/>
          </w:tcPr>
          <w:p w:rsidR="00D82871" w:rsidRPr="00CD2CC3" w:rsidRDefault="00D82871" w:rsidP="00EF5003">
            <w:pPr>
              <w:bidi/>
              <w:rPr>
                <w:rFonts w:cs="B Nazanin"/>
                <w:szCs w:val="28"/>
                <w:lang w:bidi="fa-IR"/>
              </w:rPr>
            </w:pP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قوانین کسب و کار:</w:t>
            </w:r>
          </w:p>
        </w:tc>
        <w:tc>
          <w:tcPr>
            <w:tcW w:w="7479" w:type="dxa"/>
            <w:gridSpan w:val="2"/>
          </w:tcPr>
          <w:p w:rsidR="00D82871" w:rsidRPr="00CD2CC3" w:rsidRDefault="00D1668D" w:rsidP="00EF5003">
            <w:pPr>
              <w:bidi/>
              <w:rPr>
                <w:rFonts w:cs="B Nazanin"/>
                <w:szCs w:val="28"/>
                <w:rtl/>
                <w:lang w:bidi="fa-IR"/>
              </w:rPr>
            </w:pPr>
            <w:r w:rsidRPr="00CD2CC3">
              <w:rPr>
                <w:rFonts w:cs="B Nazanin" w:hint="cs"/>
                <w:szCs w:val="28"/>
                <w:rtl/>
                <w:lang w:bidi="fa-IR"/>
              </w:rPr>
              <w:t>1-اگر دانشجو کتاب را گم کرده باشد،باید عین همان کتاب را بخرد و به کتابخانه تحویل دهد.</w:t>
            </w:r>
          </w:p>
          <w:p w:rsidR="00D1668D" w:rsidRPr="00CD2CC3" w:rsidRDefault="00D1668D" w:rsidP="00D1668D">
            <w:pPr>
              <w:bidi/>
              <w:rPr>
                <w:rFonts w:cs="B Nazanin"/>
                <w:szCs w:val="28"/>
                <w:rtl/>
                <w:lang w:bidi="fa-IR"/>
              </w:rPr>
            </w:pPr>
            <w:r w:rsidRPr="00CD2CC3">
              <w:rPr>
                <w:rFonts w:cs="B Nazanin" w:hint="cs"/>
                <w:szCs w:val="28"/>
                <w:rtl/>
                <w:lang w:bidi="fa-IR"/>
              </w:rPr>
              <w:t>2-دانشجو اگر جریمه نقدی داشته باشد،یا باید جریمه را پرداخت کند،یا معادل جریمه،کتاب تحویل کتابخانه دهد.</w:t>
            </w: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محدودیتهای پیاده</w:t>
            </w:r>
            <w:r w:rsidRPr="00CD2CC3">
              <w:rPr>
                <w:rFonts w:cs="B Nazanin" w:hint="cs"/>
                <w:szCs w:val="28"/>
                <w:rtl/>
                <w:lang w:bidi="fa-IR"/>
              </w:rPr>
              <w:softHyphen/>
              <w:t>سازی و ویژگی ها:</w:t>
            </w:r>
          </w:p>
        </w:tc>
        <w:tc>
          <w:tcPr>
            <w:tcW w:w="7479" w:type="dxa"/>
            <w:gridSpan w:val="2"/>
          </w:tcPr>
          <w:p w:rsidR="00D82871" w:rsidRPr="00CD2CC3" w:rsidRDefault="00D82871" w:rsidP="00D1668D">
            <w:pPr>
              <w:bidi/>
              <w:rPr>
                <w:rFonts w:cs="B Nazanin"/>
                <w:szCs w:val="28"/>
                <w:rtl/>
                <w:lang w:bidi="fa-IR"/>
              </w:rPr>
            </w:pPr>
          </w:p>
        </w:tc>
      </w:tr>
      <w:tr w:rsidR="00D82871" w:rsidRPr="00CD2CC3" w:rsidTr="006E723A">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lastRenderedPageBreak/>
              <w:t>مفروضات:</w:t>
            </w:r>
          </w:p>
        </w:tc>
        <w:tc>
          <w:tcPr>
            <w:tcW w:w="7479" w:type="dxa"/>
            <w:gridSpan w:val="2"/>
          </w:tcPr>
          <w:p w:rsidR="00D82871" w:rsidRPr="00CD2CC3" w:rsidRDefault="00D82871" w:rsidP="00EF5003">
            <w:pPr>
              <w:bidi/>
              <w:rPr>
                <w:rFonts w:cs="B Nazanin"/>
                <w:szCs w:val="28"/>
                <w:rtl/>
                <w:lang w:bidi="fa-IR"/>
              </w:rPr>
            </w:pPr>
          </w:p>
        </w:tc>
      </w:tr>
      <w:tr w:rsidR="00D82871" w:rsidRPr="00CD2CC3" w:rsidTr="006E723A">
        <w:trPr>
          <w:trHeight w:val="70"/>
        </w:trPr>
        <w:tc>
          <w:tcPr>
            <w:tcW w:w="2097" w:type="dxa"/>
          </w:tcPr>
          <w:p w:rsidR="00D82871" w:rsidRPr="00CD2CC3" w:rsidRDefault="00D82871" w:rsidP="006E723A">
            <w:pPr>
              <w:bidi/>
              <w:rPr>
                <w:rFonts w:cs="B Nazanin"/>
                <w:szCs w:val="28"/>
                <w:rtl/>
                <w:lang w:bidi="fa-IR"/>
              </w:rPr>
            </w:pPr>
            <w:r w:rsidRPr="00CD2CC3">
              <w:rPr>
                <w:rFonts w:cs="B Nazanin" w:hint="cs"/>
                <w:szCs w:val="28"/>
                <w:rtl/>
                <w:lang w:bidi="fa-IR"/>
              </w:rPr>
              <w:t>موضوعات باقی</w:t>
            </w:r>
            <w:r w:rsidRPr="00CD2CC3">
              <w:rPr>
                <w:rFonts w:cs="B Nazanin" w:hint="cs"/>
                <w:szCs w:val="28"/>
                <w:rtl/>
                <w:lang w:bidi="fa-IR"/>
              </w:rPr>
              <w:softHyphen/>
              <w:t>مانده:</w:t>
            </w:r>
          </w:p>
        </w:tc>
        <w:tc>
          <w:tcPr>
            <w:tcW w:w="7479" w:type="dxa"/>
            <w:gridSpan w:val="2"/>
          </w:tcPr>
          <w:p w:rsidR="00D82871" w:rsidRPr="00CD2CC3" w:rsidRDefault="00D82871" w:rsidP="00EF5003">
            <w:pPr>
              <w:bidi/>
              <w:rPr>
                <w:rFonts w:cs="B Nazanin"/>
                <w:szCs w:val="28"/>
                <w:rtl/>
                <w:lang w:bidi="fa-IR"/>
              </w:rPr>
            </w:pPr>
          </w:p>
        </w:tc>
      </w:tr>
      <w:bookmarkEnd w:id="0"/>
    </w:tbl>
    <w:p w:rsidR="001254B3" w:rsidRPr="002F4EA4" w:rsidRDefault="004F7F3D" w:rsidP="00D82871">
      <w:pPr>
        <w:rPr>
          <w:rFonts w:asciiTheme="majorHAnsi" w:eastAsiaTheme="majorEastAsia" w:hAnsiTheme="majorHAnsi" w:cs="Arial"/>
          <w:color w:val="365F91" w:themeColor="accent1" w:themeShade="BF"/>
          <w:sz w:val="28"/>
          <w:szCs w:val="28"/>
          <w:lang w:bidi="fa-IR"/>
        </w:rPr>
      </w:pPr>
    </w:p>
    <w:sectPr w:rsidR="001254B3" w:rsidRPr="002F4EA4" w:rsidSect="002F4EA4">
      <w:headerReference w:type="default" r:id="rId7"/>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3D" w:rsidRDefault="004F7F3D" w:rsidP="00D82871">
      <w:pPr>
        <w:spacing w:after="0" w:line="240" w:lineRule="auto"/>
      </w:pPr>
      <w:r>
        <w:separator/>
      </w:r>
    </w:p>
  </w:endnote>
  <w:endnote w:type="continuationSeparator" w:id="0">
    <w:p w:rsidR="004F7F3D" w:rsidRDefault="004F7F3D" w:rsidP="00D8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3D" w:rsidRDefault="004F7F3D" w:rsidP="00D82871">
      <w:pPr>
        <w:spacing w:after="0" w:line="240" w:lineRule="auto"/>
      </w:pPr>
      <w:r>
        <w:separator/>
      </w:r>
    </w:p>
  </w:footnote>
  <w:footnote w:type="continuationSeparator" w:id="0">
    <w:p w:rsidR="004F7F3D" w:rsidRDefault="004F7F3D" w:rsidP="00D8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003" w:rsidRDefault="00EF5003" w:rsidP="00EF5003">
    <w:pPr>
      <w:pStyle w:val="Header"/>
      <w:bid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871"/>
    <w:rsid w:val="000B32EF"/>
    <w:rsid w:val="0010473A"/>
    <w:rsid w:val="001F7311"/>
    <w:rsid w:val="002B2F8D"/>
    <w:rsid w:val="002F4EA4"/>
    <w:rsid w:val="00357B7F"/>
    <w:rsid w:val="003713DF"/>
    <w:rsid w:val="003B0BEC"/>
    <w:rsid w:val="00472F73"/>
    <w:rsid w:val="004A6428"/>
    <w:rsid w:val="004F7F3D"/>
    <w:rsid w:val="00503693"/>
    <w:rsid w:val="006F28BE"/>
    <w:rsid w:val="00755114"/>
    <w:rsid w:val="007B6D40"/>
    <w:rsid w:val="008318CA"/>
    <w:rsid w:val="008B35DD"/>
    <w:rsid w:val="009F5684"/>
    <w:rsid w:val="00AD12F3"/>
    <w:rsid w:val="00B06339"/>
    <w:rsid w:val="00B62D1F"/>
    <w:rsid w:val="00BB7271"/>
    <w:rsid w:val="00C93A27"/>
    <w:rsid w:val="00CD2CC3"/>
    <w:rsid w:val="00D1668D"/>
    <w:rsid w:val="00D33CF9"/>
    <w:rsid w:val="00D409C0"/>
    <w:rsid w:val="00D82871"/>
    <w:rsid w:val="00E7431F"/>
    <w:rsid w:val="00EF5003"/>
    <w:rsid w:val="00F77B38"/>
    <w:rsid w:val="00F97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7B6E2-487F-479C-9A08-4EB7C445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87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28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828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871"/>
    <w:rPr>
      <w:rFonts w:eastAsiaTheme="minorEastAsia"/>
    </w:rPr>
  </w:style>
  <w:style w:type="paragraph" w:styleId="Footer">
    <w:name w:val="footer"/>
    <w:basedOn w:val="Normal"/>
    <w:link w:val="FooterChar"/>
    <w:uiPriority w:val="99"/>
    <w:semiHidden/>
    <w:unhideWhenUsed/>
    <w:rsid w:val="00D828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8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6043-58BE-4DE9-9432-75BEFAB2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Farshid</cp:lastModifiedBy>
  <cp:revision>10</cp:revision>
  <dcterms:created xsi:type="dcterms:W3CDTF">2015-11-17T19:25:00Z</dcterms:created>
  <dcterms:modified xsi:type="dcterms:W3CDTF">2016-01-25T22:34:00Z</dcterms:modified>
</cp:coreProperties>
</file>