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18.png" ContentType="image/png"/>
  <Override PartName="/word/media/rId26.png" ContentType="image/png"/>
  <Override PartName="/word/media/rId30.png" ContentType="image/png"/>
  <Override PartName="/word/media/rId22.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 the AI era</w:t>
      </w:r>
    </w:p>
    <w:p>
      <w:pPr>
        <w:pStyle w:val="Author"/>
      </w:pPr>
      <w:r>
        <w:t xml:space="preserve">Geert van Geest, Valeria Di Cola, Monique Zahn, Diana Marek, Gregoire Rossier, Wandrille Duchemin, Tania Wyss, Joana Carlevaro-Fita, Deepak Tanwar, Marion Vaucher, Patricia M. Palagi</w:t>
      </w:r>
    </w:p>
    <w:p>
      <w:pPr>
        <w:pStyle w:val="AbstractTitle"/>
      </w:pPr>
      <w:r>
        <w:t xml:space="preserve">Abstract</w:t>
      </w:r>
    </w:p>
    <w:p>
      <w:pPr>
        <w:pStyle w:val="Abstract"/>
      </w:pPr>
      <w:r>
        <w:rPr>
          <w:b/>
          <w:bCs/>
        </w:rPr>
        <w:t xml:space="preserve">Background:</w:t>
      </w:r>
      <w:r>
        <w:t xml:space="preserve"> </w:t>
      </w:r>
      <w:r>
        <w:t xml:space="preserve">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w:t>
      </w:r>
    </w:p>
    <w:p>
      <w:pPr>
        <w:pStyle w:val="Abstract"/>
      </w:pPr>
      <w:r>
        <w:rPr>
          <w:b/>
          <w:bCs/>
        </w:rPr>
        <w:t xml:space="preserve">Methods:</w:t>
      </w:r>
      <w:r>
        <w:t xml:space="preserve"> </w:t>
      </w:r>
      <w:r>
        <w:t xml:space="preserve">We analyzed 260 responses collected over 6 weeks (March-April 2026), including Likert-type ratings for training topics, participation barriers, and preferred course formats, plus demographic variables. Responses were analyzed as a single group and as clusters. For cluster analysis, respondents were represented as nodes in a correlation network built from course-topic ratings and Louvain community detection was applied to identify clusters. Cluster profiles were then characterized using topic priorities, barriers, format preferences, and demographics.</w:t>
      </w:r>
    </w:p>
    <w:p>
      <w:pPr>
        <w:pStyle w:val="Abstract"/>
      </w:pPr>
      <w:r>
        <w:rPr>
          <w:b/>
          <w:bCs/>
        </w:rPr>
        <w:t xml:space="preserve">Results:</w:t>
      </w:r>
      <w:r>
        <w:t xml:space="preserve"> </w:t>
      </w:r>
      <w:r>
        <w:t xml:space="preserve">Respondents indicated their need for training across a total of 33 possible course topics. Four of the possible topics related to AI/LLM skills and all of them were in the top six of most needed topics. Other than AI, there were high demands on reproducible data practices and computational methods. As course format,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w:t>
      </w:r>
    </w:p>
    <w:p>
      <w:pPr>
        <w:pStyle w:val="Abstract"/>
      </w:pPr>
      <w:r>
        <w:rPr>
          <w:b/>
          <w:bCs/>
        </w:rPr>
        <w:t xml:space="preserve">Conclusions:</w:t>
      </w:r>
      <w:r>
        <w:t xml:space="preserve"> </w:t>
      </w:r>
      <w:r>
        <w:t xml:space="preserve">There is a clear need for skills in AI and reproducible research, and respondents favored human interaction in learning formats.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(Via et al. 2011)</w:t>
      </w:r>
      <w:r>
        <w:t xml:space="preserve">. National and international training providers, such as the SIB Swiss Institute of Bioinformatics (SIB), aim to provide high-quality, effective short-format courses</w:t>
      </w:r>
      <w:r>
        <w:t xml:space="preserve"> </w:t>
      </w:r>
      <w:r>
        <w:t xml:space="preserve">(Williams et al. 2023)</w:t>
      </w:r>
      <w:r>
        <w:t xml:space="preserve"> </w:t>
      </w:r>
      <w:r>
        <w:t xml:space="preserve">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pPr>
        <w:pStyle w:val="BodyText"/>
      </w:pPr>
      <w:r>
        <w:t xml:space="preserve">It is an continuous challenge to match the training needs of such a diverse audience. A frequently used tool to understand such needs are training needs surveys</w:t>
      </w:r>
      <w:r>
        <w:t xml:space="preserve"> </w:t>
      </w:r>
      <w:r>
        <w:t xml:space="preserve">(e.g. Attwood et al. 2019; Sangeda et al. 2021; Rocha et al. 2022; Drew et al. 2023; Velozo et al. 2024; Geest et al. 2026)</w:t>
      </w:r>
      <w:r>
        <w:t xml:space="preserve">.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(Punj and Stewart 1983)</w:t>
      </w:r>
      <w:r>
        <w:t xml:space="preserve">, and currently finds a wide range of applications</w:t>
      </w:r>
      <w:r>
        <w:t xml:space="preserve"> </w:t>
      </w:r>
      <w:r>
        <w:t xml:space="preserve">(Hooghe et al. 2016; Cheng et al. 2024; Hyde et al. 2019; Wenger and Lamamra 2024; Chung and Lee 2020)</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Various generative AI tools have shifted how researchers write code</w:t>
      </w:r>
      <w:r>
        <w:t xml:space="preserve"> </w:t>
      </w:r>
      <w:r>
        <w:t xml:space="preserve">(Jiang et al. 2026)</w:t>
      </w:r>
      <w:r>
        <w:t xml:space="preserve">, automate workflows and retrieve data</w:t>
      </w:r>
      <w:r>
        <w:t xml:space="preserve"> </w:t>
      </w:r>
      <w:r>
        <w:t xml:space="preserve">(Sima and Farias 2023)</w:t>
      </w:r>
      <w:r>
        <w:t xml:space="preserve">. LLM and generative AI are heavily used by scientists</w:t>
      </w:r>
      <w:r>
        <w:t xml:space="preserve"> </w:t>
      </w:r>
      <w:r>
        <w:t xml:space="preserve">(Daepp et al. 2026)</w:t>
      </w:r>
      <w:r>
        <w:t xml:space="preserve">, and they are frequently used for education</w:t>
      </w:r>
      <w:r>
        <w:t xml:space="preserve"> </w:t>
      </w:r>
      <w:r>
        <w:t xml:space="preserve">(Bewersdorff et al. 2025; Wang et al. 2026)</w:t>
      </w:r>
      <w:r>
        <w:t xml:space="preserve">, both in the classroom and for self-directed learning</w:t>
      </w:r>
      <w:r>
        <w:t xml:space="preserve"> </w:t>
      </w:r>
      <w:r>
        <w:t xml:space="preserve">(Esiyok et al. 2025; Wu et al. 2024)</w:t>
      </w:r>
      <w:r>
        <w:t xml:space="preserve">. To understand the impact of AI on training needs, it is therefore important to identify what kind of AI-related topics are required by scientists. This can help training providers to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understanding training needs based on the SIB training needs survey in terms of course topics, format, and barriers. By converting individual responses into a correlation graph, we define profiles of learners who share common training needs, regardless of their institutional or regional backgrounds. We detail the underlying data preprocessing pipeline, a conceptual overview of graph construction, and subsequent characterization of the learner profiles with an emphasis on how AI can be incorporated in training programs.</w:t>
      </w:r>
    </w:p>
    <w:bookmarkEnd w:id="9"/>
    <w:bookmarkStart w:id="17" w:name="methods"/>
    <w:p>
      <w:pPr>
        <w:pStyle w:val="Heading2"/>
      </w:pPr>
      <w:r>
        <w:t xml:space="preserve">2 Methods</w:t>
      </w:r>
    </w:p>
    <w:bookmarkStart w:id="10" w:name="survey-design-and-distribution"/>
    <w:p>
      <w:pPr>
        <w:pStyle w:val="Heading3"/>
      </w:pPr>
      <w:r>
        <w:t xml:space="preserve">2.1 Survey design and distribution</w:t>
      </w:r>
    </w:p>
    <w:p>
      <w:pPr>
        <w:pStyle w:val="FirstParagraph"/>
      </w:pPr>
      <w:r>
        <w:t xml:space="preserve">The SIB training needs survey was designed to collect information using mostly multiple-choice and Likert-type questions. All survey questions, and anonymized responses, can be found on Zenodo (https://zenodo.org/records/20446763). At its core, the questionnaire evaluated course topics, barriers and formats using 5-point Likert-type scales:</w:t>
      </w:r>
    </w:p>
    <w:p>
      <w:pPr>
        <w:pStyle w:val="Compact"/>
        <w:numPr>
          <w:ilvl w:val="0"/>
          <w:numId w:val="1001"/>
        </w:numPr>
      </w:pPr>
      <w:r>
        <w:t xml:space="preserve">Training needs: Respondents evaluated their training needs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which were quantified using an ordinal scale ranging from</w:t>
      </w:r>
      <w:r>
        <w:t xml:space="preserve"> </w:t>
      </w:r>
      <w:r>
        <w:t xml:space="preserve">‘Not needed’</w:t>
      </w:r>
      <w:r>
        <w:t xml:space="preserve"> </w:t>
      </w:r>
      <w:r>
        <w:t xml:space="preserve">to</w:t>
      </w:r>
      <w:r>
        <w:t xml:space="preserve"> </w:t>
      </w:r>
      <w:r>
        <w:t xml:space="preserve">‘Absolutely essential’</w:t>
      </w:r>
      <w:r>
        <w:t xml:space="preserve">.</w:t>
      </w:r>
    </w:p>
    <w:p>
      <w:pPr>
        <w:pStyle w:val="Compact"/>
        <w:numPr>
          <w:ilvl w:val="0"/>
          <w:numId w:val="1001"/>
        </w:numPr>
      </w:pPr>
      <w:r>
        <w:t xml:space="preserve">Perceived participation barriers: Structural and logistical impediments were quantified using an ordinal scale ranging from</w:t>
      </w:r>
      <w:r>
        <w:t xml:space="preserve"> </w:t>
      </w:r>
      <w:r>
        <w:t xml:space="preserve">‘No barrier’</w:t>
      </w:r>
      <w:r>
        <w:t xml:space="preserve"> </w:t>
      </w:r>
      <w:r>
        <w:t xml:space="preserve">to</w:t>
      </w:r>
      <w:r>
        <w:t xml:space="preserve"> </w:t>
      </w:r>
      <w:r>
        <w:t xml:space="preserve">‘Critical barrier’</w:t>
      </w:r>
      <w:r>
        <w:t xml:space="preserve">. Evaluated barriers included course fees, travel distance, timing constraints, and prerequisite alignment.</w:t>
      </w:r>
    </w:p>
    <w:p>
      <w:pPr>
        <w:pStyle w:val="Compact"/>
        <w:numPr>
          <w:ilvl w:val="0"/>
          <w:numId w:val="1001"/>
        </w:numPr>
      </w:pPr>
      <w:r>
        <w:t xml:space="preserve">Preferred learning formats: Pedagogical delivery formats (e.g., webinars, bring your own data, problem-based learning, multi-day intensive courses, self-paced e-learning, and AI-assisted learning) were quantified using an ordinal scale ranging from</w:t>
      </w:r>
      <w:r>
        <w:t xml:space="preserve"> </w:t>
      </w:r>
      <w:r>
        <w:t xml:space="preserve">‘Strongly dislike’</w:t>
      </w:r>
      <w:r>
        <w:t xml:space="preserve"> </w:t>
      </w:r>
      <w:r>
        <w:t xml:space="preserve">to</w:t>
      </w:r>
      <w:r>
        <w:t xml:space="preserve"> </w:t>
      </w:r>
      <w:r>
        <w:t xml:space="preserve">‘Strongly like’</w:t>
      </w:r>
      <w:r>
        <w:t xml:space="preserve">.</w:t>
      </w:r>
    </w:p>
    <w:p>
      <w:pPr>
        <w:pStyle w:val="FirstParagraph"/>
      </w:pPr>
      <w:r>
        <w:t xml:space="preserve">Demographic covariates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technical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 dplyr</w:t>
      </w:r>
      <w:r>
        <w:t xml:space="preserve"> </w:t>
      </w:r>
      <w:r>
        <w:t xml:space="preserve">(Wickham et al. 2026)</w:t>
      </w:r>
      <w:r>
        <w:t xml:space="preserve"> </w:t>
      </w:r>
      <w:r>
        <w:t xml:space="preserve">for data manipulation and ggplot2</w:t>
      </w:r>
      <w:r>
        <w:t xml:space="preserve"> </w:t>
      </w:r>
      <w:r>
        <w:t xml:space="preserve">(Wickham 2016)</w:t>
      </w:r>
      <w:r>
        <w:t xml:space="preserve"> </w:t>
      </w:r>
      <w:r>
        <w:t xml:space="preserve">for visualization. All code can be found on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technical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w:t>
      </w:r>
      <w:r>
        <w:t xml:space="preserve"> </w:t>
      </w:r>
      <w:r>
        <w:rPr>
          <w:rStyle w:val="VerbatimChar"/>
        </w:rPr>
        <w:t xml:space="preserve">igraph</w:t>
      </w:r>
      <w:r>
        <w:t xml:space="preserve"> </w:t>
      </w:r>
      <w:r>
        <w:t xml:space="preserve">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archetypes. Respondents are modeled as nodes in a network, with edges representing pairwise correlation of training needs. Louvain community detection is applied to identify clusters of respondents with similar training needs.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In total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six cantons that all have a large university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the Supplementary Materials.</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the Supplementary Materials.</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080000" cy="6350000"/>
                  <wp:effectExtent b="0" l="0" r="0" t="0"/>
                  <wp:docPr descr="" title="" id="36" name="Picture"/>
                  <a:graphic>
                    <a:graphicData uri="http://schemas.openxmlformats.org/drawingml/2006/picture">
                      <pic:pic>
                        <pic:nvPicPr>
                          <pic:cNvPr descr="manuscript_files/figure-docx/fig-course-cluster-network-1.png" id="37" name="Picture"/>
                          <pic:cNvPicPr>
                            <a:picLocks noChangeArrowheads="1" noChangeAspect="1"/>
                          </pic:cNvPicPr>
                        </pic:nvPicPr>
                        <pic:blipFill>
                          <a:blip r:embed="rId35"/>
                          <a:stretch>
                            <a:fillRect/>
                          </a:stretch>
                        </pic:blipFill>
                        <pic:spPr bwMode="auto">
                          <a:xfrm>
                            <a:off x="0" y="0"/>
                            <a:ext cx="5080000" cy="635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 Cluster 5 is an outlier cluster with a single respondent and was removed from further analysis.</w:t>
            </w:r>
          </w:p>
          <w:bookmarkEnd w:id="38"/>
        </w:tc>
      </w:tr>
    </w:tbl>
    <w:p>
      <w:pPr>
        <w:pStyle w:val="BodyText"/>
      </w:pPr>
      <w:r>
        <w:t xml:space="preserve">The resulting clusters were similar in size and displayed varying levels of internal similarity of responses. To evaluate this,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respondents within Cluster 1 have more similar training needs compared to the other clusters.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Nodes: the number of nodes (= respondents) in the cluster; internal edges: number of edges within a cluster; possible edges: all possible edges given the number of nodes; edge density: internal edges/possible edges.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cluster</w:t>
                  </w:r>
                </w:p>
              </w:tc>
              <w:tc>
                <w:tcPr/>
                <w:p>
                  <w:pPr>
                    <w:pStyle w:val="Compact"/>
                    <w:jc w:val="right"/>
                    <w:jc w:val="center"/>
                  </w:pPr>
                  <w:r>
                    <w:t xml:space="preserve">nodes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Cluster 1 (</w:t>
      </w:r>
      <w:hyperlink w:anchor="fig-topics-by-cluster">
        <w:r>
          <w:rPr>
            <w:rStyle w:val="Hyperlink"/>
          </w:rPr>
          <w:t xml:space="preserve">Figure 7</w:t>
        </w:r>
      </w:hyperlink>
      <w:r>
        <w:t xml:space="preserve"> </w:t>
      </w:r>
      <w:r>
        <w:t xml:space="preserve">A; referred to as</w:t>
      </w:r>
      <w:r>
        <w:t xml:space="preserve"> </w:t>
      </w:r>
      <w:r>
        <w:t xml:space="preserve">‘AI and data’</w:t>
      </w:r>
      <w:r>
        <w:t xml:space="preserve">) is characterized by an interest in best practices in AI and data, including application LLMs and reproducible and FAIR Data. Cluster 2 (</w:t>
      </w:r>
      <w:hyperlink w:anchor="fig-topics-by-cluster">
        <w:r>
          <w:rPr>
            <w:rStyle w:val="Hyperlink"/>
          </w:rPr>
          <w:t xml:space="preserve">Figure 7</w:t>
        </w:r>
      </w:hyperlink>
      <w:r>
        <w:t xml:space="preserve"> </w:t>
      </w:r>
      <w:r>
        <w:t xml:space="preserve">B; referred to as</w:t>
      </w:r>
      <w:r>
        <w:t xml:space="preserve"> </w:t>
      </w:r>
      <w:r>
        <w:t xml:space="preserve">‘Infectious disease genomics’</w:t>
      </w:r>
      <w:r>
        <w:t xml:space="preserve">) is characterized by infectious disease topics and possibly ecology, with an interest in phylogenetics, pathogen genomics and epidemiology. Cluster 3 (</w:t>
      </w:r>
      <w:hyperlink w:anchor="fig-topics-by-cluster">
        <w:r>
          <w:rPr>
            <w:rStyle w:val="Hyperlink"/>
          </w:rPr>
          <w:t xml:space="preserve">Figure 7</w:t>
        </w:r>
      </w:hyperlink>
      <w:r>
        <w:t xml:space="preserve"> </w:t>
      </w:r>
      <w:r>
        <w:t xml:space="preserve">C; referred to as</w:t>
      </w:r>
      <w:r>
        <w:t xml:space="preserve"> </w:t>
      </w:r>
      <w:r>
        <w:t xml:space="preserve">‘Functional genomics’</w:t>
      </w:r>
      <w:r>
        <w:t xml:space="preserve">) is characterized by an interest in functional genomics topics, with an interest in transcriptomics and epigenetics. Cluster 4 (</w:t>
      </w:r>
      <w:hyperlink w:anchor="fig-topics-by-cluster">
        <w:r>
          <w:rPr>
            <w:rStyle w:val="Hyperlink"/>
          </w:rPr>
          <w:t xml:space="preserve">Figure 7</w:t>
        </w:r>
      </w:hyperlink>
      <w:r>
        <w:t xml:space="preserve"> </w:t>
      </w:r>
      <w:r>
        <w:t xml:space="preserve">D; referred to as</w:t>
      </w:r>
      <w:r>
        <w:t xml:space="preserve"> </w:t>
      </w:r>
      <w:r>
        <w:t xml:space="preserve">‘Biochemistry, imaging &amp; AI’</w:t>
      </w:r>
      <w:r>
        <w:t xml:space="preserve">) is characterized by training needs on AI, biochemistry and imaging, with an interest in proteomics, mass spectrometry and imaging and omics data integration. All clusters have topics related to AI in their top 10, indicating that AI is a cross-cutting theme across all clusters.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the Supplementary Materials.</w:t>
            </w:r>
          </w:p>
          <w:bookmarkEnd w:id="44"/>
        </w:tc>
      </w:tr>
    </w:tbl>
    <w:p>
      <w:pPr>
        <w:pStyle w:val="BodyText"/>
      </w:pPr>
      <w:r>
        <w:t xml:space="preserve">These clusters can be further characerized based on demographic characteristics (</w:t>
      </w:r>
      <w:hyperlink w:anchor="fig-cluster-pie-career">
        <w:r>
          <w:rPr>
            <w:rStyle w:val="Hyperlink"/>
          </w:rPr>
          <w:t xml:space="preserve">Figure 8</w:t>
        </w:r>
      </w:hyperlink>
      <w:r>
        <w:t xml:space="preserve">; Supplementary Figure X), structural barriers to participation (Supplementary Figure X), and preferred learning formats (Supplementary Figure X). Such analyses can help training providers to design targeted curricula that address the specific needs of each cluster. For example, Cluster 1 (AI &amp; data)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(Supplmentary Figure X), while Cluster 4 (Biochemistry, imaging &amp; AI) has a higher proportion of senior scientists and respondents from industry. These differences in demographics can inform the design of training programs that are tailored to the specific needs and preferences of each cluster.</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p>
      <w:pPr>
        <w:pStyle w:val="FirstParagraph"/>
      </w:pPr>
      <w:r>
        <w:t xml:space="preserve">The results of the SIB training survey provide a snapshot on bioinformatics training needs of scientists in spring 2026, a period in which generative AI and large language models (LLMs) have become increasingly relevant. The survey design and analysis framework is unique within the context of bioinformatics education, and provides a comprehensive approach to understanding training needs, participation barriers, and preferred learning formats. Here, we discuss the overall survey outcomes that can be used for curriculum design on the short term, and the advantages of the analysis approach that can serve as a blueprint for future surveys on training needs.</w:t>
      </w:r>
    </w:p>
    <w:bookmarkStart w:id="54" w:name="overall-survey-outcomes"/>
    <w:p>
      <w:pPr>
        <w:pStyle w:val="Heading3"/>
      </w:pPr>
      <w:r>
        <w:t xml:space="preserve">4.1 Overall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was a good outcome for the aims of the survey because, academic researchers working in Switzerland are the main target group of SIB training. Nevertheless, we think that the survey results can be used for similar training curricula in other countries. Here, we discuss the overall survey outcomes along the three dimensions of training needs, participation barriers and learning formats.</w:t>
      </w:r>
    </w:p>
    <w:bookmarkStart w:id="51" w:name="Xbd19bfc40f747e39b38feba064da9cf9f06c1ca"/>
    <w:p>
      <w:pPr>
        <w:pStyle w:val="Heading4"/>
      </w:pPr>
      <w:r>
        <w:t xml:space="preserve">4.1.1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(Sidhu et al. 2024; Wen Bin Goh et al. 2026)</w:t>
      </w:r>
      <w:r>
        <w:t xml:space="preserve">, and it is reassuring to see that the respondents are aware of this gap and are interested in learning more about it, particulary in the learner profile</w:t>
      </w:r>
      <w:r>
        <w:t xml:space="preserve"> </w:t>
      </w:r>
      <w:r>
        <w:t xml:space="preserve">‘AI and data’</w:t>
      </w:r>
      <w:r>
        <w:t xml:space="preserve"> </w:t>
      </w:r>
      <w:r>
        <w:t xml:space="preserve">(Cluster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repsondents,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(Sheeran and Webb 2016)</w:t>
      </w:r>
      <w:r>
        <w:t xml:space="preserve">. Despite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Overall, the largest barriers were distance and course fees, which were a large or critical barrier for respectively 33% and 25% of the respondents. Currently, approximately 50% of the SIB courses is provided in-person, and most other courses in-person take place in Lausanne, Geneva, Basel, Bern and Zurich. The other courses are online, and logistical barriers should not be significant, given that barriers related to time-zone differences were perceived as minimal. To reduce the distance barrier for Swiss participants, there could be more incentive to organise the same course in different cities and possibly provide more online options. However, seeking a balance between in-person and online courses remains important, since online education can reduce student statisfaction</w:t>
      </w:r>
      <w:r>
        <w:t xml:space="preserve"> </w:t>
      </w:r>
      <w:r>
        <w:t xml:space="preserve">(Ebner and Gegenfurtner 2019)</w:t>
      </w:r>
      <w:r>
        <w:t xml:space="preserve"> </w:t>
      </w:r>
      <w:r>
        <w:t xml:space="preserve">and learning effectiveness</w:t>
      </w:r>
      <w:r>
        <w:t xml:space="preserve"> </w:t>
      </w:r>
      <w:r>
        <w:t xml:space="preserve">(Meng et al. 2024)</w:t>
      </w:r>
      <w:r>
        <w:t xml:space="preserve">. Regarding fees, SIB charges fall within a similar range compared to other European curricula targeting the same audience (e.g., EMBL-EBI courses, VIB training), though revenues do not cover all costs. Consequently, there is limited flexibility to further reduce this barrier without jeopardizing financial sustainability.</w:t>
      </w:r>
    </w:p>
    <w:bookmarkEnd w:id="52"/>
    <w:bookmarkStart w:id="53" w:name="the-need-for-human-interaction"/>
    <w:p>
      <w:pPr>
        <w:pStyle w:val="Heading4"/>
      </w:pPr>
      <w:r>
        <w:t xml:space="preserve">4.1.3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(Dong 2026)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(Lelescu et al. 2025)</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3"/>
    <w:bookmarkEnd w:id="54"/>
    <w:bookmarkStart w:id="55" w:name="Xb35517a315e76c974aa3df1a4c47fd1b52f9a98"/>
    <w:p>
      <w:pPr>
        <w:pStyle w:val="Heading3"/>
      </w:pPr>
      <w:r>
        <w:t xml:space="preserve">4.2 Learner profiles characterize heterogeneous training needs</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resulting in insights that would remain hidden otherwise. For example, the topic</w:t>
      </w:r>
      <w:r>
        <w:t xml:space="preserve"> </w:t>
      </w:r>
      <w:r>
        <w:t xml:space="preserve">‘AI-assisted coding and analysis’</w:t>
      </w:r>
      <w:r>
        <w:t xml:space="preserve"> </w:t>
      </w:r>
      <w:r>
        <w:t xml:space="preserve">was indicated as most needed by the complete pool of respondents, but when looking at the clusters, it was only in the most needed topic in Cluster 1 (AI &amp; Data; 1st most needed), and not even in the top 10 for cluster 3 (Functional genomics). This shows that organising a course on this topic would serve the primary needs of Cluster 1, but only partly of respondents in the other clusters. This works the other way around as well. For example, the topic</w:t>
      </w:r>
      <w:r>
        <w:t xml:space="preserve"> </w:t>
      </w:r>
      <w:r>
        <w:t xml:space="preserve">“Phylogenetics data analysis”</w:t>
      </w:r>
      <w:r>
        <w:t xml:space="preserve"> </w:t>
      </w:r>
      <w:r>
        <w:t xml:space="preserve">was the 15th most needed topic in the complete pool of respondents, indicating a moderately to low priority to organize a course on the topic. However, it was the first most needed topic in Cluster 2 (Infectious disease genomics), showing that organising a course on this topic would serve the primary needs of a substantial group of respondents, and this would not be visible when looking at the complete pool of respondents.</w:t>
      </w:r>
    </w:p>
    <w:p>
      <w:pPr>
        <w:pStyle w:val="BodyText"/>
      </w:pPr>
      <w:r>
        <w:t xml:space="preserve">The clusters also enable a more targeted approach to address barriers to participation, learning formats and demographics. For example, Cluster 1 (AI &amp; Data) has a higher proportion of early-career scientists and a higher proportion of respondents from Swiss universities, while Cluster 4 (Biochemistry, imaging &amp; AI) has a higher proportion of senior scientists and respondents from industry. These differences in demographics can inform the design of training programs that are tailored to the specific needs and preferences of each learner profile.</w:t>
      </w:r>
    </w:p>
    <w:bookmarkEnd w:id="55"/>
    <w:bookmarkEnd w:id="56"/>
    <w:bookmarkStart w:id="130" w:name="conclusion"/>
    <w:p>
      <w:pPr>
        <w:pStyle w:val="Heading2"/>
      </w:pPr>
      <w:r>
        <w:t xml:space="preserve">5 Conclusion</w:t>
      </w:r>
    </w:p>
    <w:p>
      <w:pPr>
        <w:pStyle w:val="FirstParagraph"/>
      </w:pPr>
      <w:r>
        <w:t xml:space="preserve">This study demonstrates the utility of network analysis and community detection for understanding training needs and tranlsating them into curriculum design. By clustering respondents based on their shared needs rather than demographics, we identified four meaningful learner profiles. Overall and within those profiles, there is a clear need for training AI-related topics. The dislike of AI-assisted learning formats, and preference of synchronous interacitve formats shows a need for human interaction during training, and raises questions on trust and liability issues while using AI in the classroom. Tailoring training curricula to these empirically derived learner profiles enables training providers to effectively address topical needs, participation barriers and teaching formats in order to ensure educational effectiveness in a rapidly evolving scientific landscape.</w:t>
      </w:r>
    </w:p>
    <w:bookmarkStart w:id="129"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ewersdorff_taking_2025"/>
    <w:p>
      <w:pPr>
        <w:pStyle w:val="Bibliography"/>
      </w:pPr>
      <w:r>
        <w:t xml:space="preserve">Bewersdorff, Arne, Christian Hartmann, Marie Hornberger, et al. 2025.</w:t>
      </w:r>
      <w:r>
        <w:t xml:space="preserve"> </w:t>
      </w:r>
      <w:r>
        <w:t xml:space="preserve">“Taking the Next Step with Generative Artificial Intelligence:</w:t>
      </w:r>
      <w:r>
        <w:t xml:space="preserve"> </w:t>
      </w:r>
      <w:r>
        <w:t xml:space="preserve">The</w:t>
      </w:r>
      <w:r>
        <w:t xml:space="preserve"> </w:t>
      </w:r>
      <w:r>
        <w:t xml:space="preserve">Transformative Role of Multimodal Large Language Models in Science Education.”</w:t>
      </w:r>
      <w:r>
        <w:t xml:space="preserve"> </w:t>
      </w:r>
      <w:r>
        <w:rPr>
          <w:i/>
          <w:iCs/>
        </w:rPr>
        <w:t xml:space="preserve">Learning and Individual Differences</w:t>
      </w:r>
      <w:r>
        <w:t xml:space="preserve"> </w:t>
      </w:r>
      <w:r>
        <w:t xml:space="preserve">118 (February): 102601.</w:t>
      </w:r>
      <w:r>
        <w:t xml:space="preserve"> </w:t>
      </w:r>
      <w:hyperlink r:id="rId59">
        <w:r>
          <w:rPr>
            <w:rStyle w:val="Hyperlink"/>
          </w:rPr>
          <w:t xml:space="preserve">https://doi.org/10.1016/j.lindif.2024.102601</w:t>
        </w:r>
      </w:hyperlink>
      <w:r>
        <w:t xml:space="preserve">.</w:t>
      </w:r>
    </w:p>
    <w:bookmarkEnd w:id="60"/>
    <w:bookmarkStart w:id="62"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61">
        <w:r>
          <w:rPr>
            <w:rStyle w:val="Hyperlink"/>
          </w:rPr>
          <w:t xml:space="preserve">https://doi.org/10.1088/1742-5468/2008/10/P10008</w:t>
        </w:r>
      </w:hyperlink>
      <w:r>
        <w:t xml:space="preserve">.</w:t>
      </w:r>
    </w:p>
    <w:bookmarkEnd w:id="62"/>
    <w:bookmarkStart w:id="64"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3">
        <w:r>
          <w:rPr>
            <w:rStyle w:val="Hyperlink"/>
          </w:rPr>
          <w:t xml:space="preserve">https://doi.org/10.1093/pubmed/fdae165</w:t>
        </w:r>
      </w:hyperlink>
      <w:r>
        <w:t xml:space="preserve">.</w:t>
      </w:r>
    </w:p>
    <w:bookmarkEnd w:id="64"/>
    <w:bookmarkStart w:id="66"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5">
        <w:r>
          <w:rPr>
            <w:rStyle w:val="Hyperlink"/>
          </w:rPr>
          <w:t xml:space="preserve">https://doi.org/10.1016/j.childyouth.2020.104922</w:t>
        </w:r>
      </w:hyperlink>
      <w:r>
        <w:t xml:space="preserve">.</w:t>
      </w:r>
    </w:p>
    <w:bookmarkEnd w:id="66"/>
    <w:bookmarkStart w:id="68"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7">
        <w:r>
          <w:rPr>
            <w:rStyle w:val="Hyperlink"/>
          </w:rPr>
          <w:t xml:space="preserve">https://doi.org/10.5281/zenodo.7682609</w:t>
        </w:r>
      </w:hyperlink>
      <w:r>
        <w:t xml:space="preserve">.</w:t>
      </w:r>
    </w:p>
    <w:bookmarkEnd w:id="68"/>
    <w:bookmarkStart w:id="70" w:name="ref-daepp_ai_2026"/>
    <w:p>
      <w:pPr>
        <w:pStyle w:val="Bibliography"/>
      </w:pPr>
      <w:r>
        <w:t xml:space="preserve">Daepp, Madeleine I. G., Kiran Tomlinson, Scott Counts, and Siddharth Suri. 2026.</w:t>
      </w:r>
      <w:r>
        <w:t xml:space="preserve"> </w:t>
      </w:r>
      <w:r>
        <w:t xml:space="preserve">“</w:t>
      </w:r>
      <w:r>
        <w:t xml:space="preserve">AI</w:t>
      </w:r>
      <w:r>
        <w:t xml:space="preserve"> </w:t>
      </w:r>
      <w:r>
        <w:t xml:space="preserve">and the Democratization of Knowledge Work.”</w:t>
      </w:r>
      <w:r>
        <w:t xml:space="preserve"> </w:t>
      </w:r>
      <w:r>
        <w:rPr>
          <w:i/>
          <w:iCs/>
        </w:rPr>
        <w:t xml:space="preserve">Nature Computational Science</w:t>
      </w:r>
      <w:r>
        <w:t xml:space="preserve"> </w:t>
      </w:r>
      <w:r>
        <w:t xml:space="preserve">6 (6): 558–64.</w:t>
      </w:r>
      <w:r>
        <w:t xml:space="preserve"> </w:t>
      </w:r>
      <w:hyperlink r:id="rId69">
        <w:r>
          <w:rPr>
            <w:rStyle w:val="Hyperlink"/>
          </w:rPr>
          <w:t xml:space="preserve">https://doi.org/10.1038/s43588-026-00985-z</w:t>
        </w:r>
      </w:hyperlink>
      <w:r>
        <w:t xml:space="preserve">.</w:t>
      </w:r>
    </w:p>
    <w:bookmarkEnd w:id="70"/>
    <w:bookmarkStart w:id="72" w:name="ref-dong_generative_2026"/>
    <w:p>
      <w:pPr>
        <w:pStyle w:val="Bibliography"/>
      </w:pPr>
      <w:r>
        <w:t xml:space="preserve">Dong, Ying. 2026.</w:t>
      </w:r>
      <w:r>
        <w:t xml:space="preserve"> </w:t>
      </w:r>
      <w:r>
        <w:t xml:space="preserve">“Generative</w:t>
      </w:r>
      <w:r>
        <w:t xml:space="preserve"> </w:t>
      </w:r>
      <w:r>
        <w:t xml:space="preserve">AI</w:t>
      </w:r>
      <w:r>
        <w:t xml:space="preserve"> </w:t>
      </w:r>
      <w:r>
        <w:t xml:space="preserve">Technologies and Educational Outcomes: A Comprehensive Meta-Analysis Comparing Traditional and</w:t>
      </w:r>
      <w:r>
        <w:t xml:space="preserve"> </w:t>
      </w:r>
      <w:r>
        <w:t xml:space="preserve">AI</w:t>
      </w:r>
      <w:r>
        <w:t xml:space="preserve">-Driven Approaches.”</w:t>
      </w:r>
      <w:r>
        <w:t xml:space="preserve"> </w:t>
      </w:r>
      <w:r>
        <w:rPr>
          <w:i/>
          <w:iCs/>
        </w:rPr>
        <w:t xml:space="preserve">Humanities and Social Sciences Communications</w:t>
      </w:r>
      <w:r>
        <w:t xml:space="preserve"> </w:t>
      </w:r>
      <w:r>
        <w:t xml:space="preserve">13 (1): 559.</w:t>
      </w:r>
      <w:r>
        <w:t xml:space="preserve"> </w:t>
      </w:r>
      <w:hyperlink r:id="rId71">
        <w:r>
          <w:rPr>
            <w:rStyle w:val="Hyperlink"/>
          </w:rPr>
          <w:t xml:space="preserve">https://doi.org/10.1057/s41599-026-06903-y</w:t>
        </w:r>
      </w:hyperlink>
      <w:r>
        <w:t xml:space="preserve">.</w:t>
      </w:r>
    </w:p>
    <w:bookmarkEnd w:id="72"/>
    <w:bookmarkStart w:id="74"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73">
        <w:r>
          <w:rPr>
            <w:rStyle w:val="Hyperlink"/>
          </w:rPr>
          <w:t xml:space="preserve">https://doi.org/10.3389/feduc.2023.1317191</w:t>
        </w:r>
      </w:hyperlink>
      <w:r>
        <w:t xml:space="preserve">.</w:t>
      </w:r>
    </w:p>
    <w:bookmarkEnd w:id="74"/>
    <w:bookmarkStart w:id="76" w:name="ref-ebner_learning_2019"/>
    <w:p>
      <w:pPr>
        <w:pStyle w:val="Bibliography"/>
      </w:pPr>
      <w:r>
        <w:t xml:space="preserve">Ebner, Christian, and Andreas Gegenfurtner. 2019.</w:t>
      </w:r>
      <w:r>
        <w:t xml:space="preserve"> </w:t>
      </w:r>
      <w:r>
        <w:t xml:space="preserve">“Learning and</w:t>
      </w:r>
      <w:r>
        <w:t xml:space="preserve"> </w:t>
      </w:r>
      <w:r>
        <w:t xml:space="preserve">Satisfaction</w:t>
      </w:r>
      <w:r>
        <w:t xml:space="preserve"> </w:t>
      </w:r>
      <w:r>
        <w:t xml:space="preserve">in</w:t>
      </w:r>
      <w:r>
        <w:t xml:space="preserve"> </w:t>
      </w:r>
      <w:r>
        <w:t xml:space="preserve">Webinar</w:t>
      </w:r>
      <w:r>
        <w:t xml:space="preserve">,</w:t>
      </w:r>
      <w:r>
        <w:t xml:space="preserve"> </w:t>
      </w:r>
      <w:r>
        <w:t xml:space="preserve">Online</w:t>
      </w:r>
      <w:r>
        <w:t xml:space="preserve">, and</w:t>
      </w:r>
      <w:r>
        <w:t xml:space="preserve"> </w:t>
      </w:r>
      <w:r>
        <w:t xml:space="preserve">Face</w:t>
      </w:r>
      <w:r>
        <w:t xml:space="preserve">-to-</w:t>
      </w:r>
      <w:r>
        <w:t xml:space="preserve">Face</w:t>
      </w:r>
      <w:r>
        <w:t xml:space="preserve"> </w:t>
      </w:r>
      <w:r>
        <w:t xml:space="preserve">Instruction</w:t>
      </w:r>
      <w:r>
        <w:t xml:space="preserve">:</w:t>
      </w:r>
      <w:r>
        <w:t xml:space="preserve"> </w:t>
      </w:r>
      <w:r>
        <w:t xml:space="preserve">A</w:t>
      </w:r>
      <w:r>
        <w:t xml:space="preserve"> </w:t>
      </w:r>
      <w:r>
        <w:t xml:space="preserve">Meta</w:t>
      </w:r>
      <w:r>
        <w:t xml:space="preserve">-</w:t>
      </w:r>
      <w:r>
        <w:t xml:space="preserve">Analysis</w:t>
      </w:r>
      <w:r>
        <w:t xml:space="preserve">.”</w:t>
      </w:r>
      <w:r>
        <w:t xml:space="preserve"> </w:t>
      </w:r>
      <w:r>
        <w:rPr>
          <w:i/>
          <w:iCs/>
        </w:rPr>
        <w:t xml:space="preserve">Frontiers in Education</w:t>
      </w:r>
      <w:r>
        <w:t xml:space="preserve"> </w:t>
      </w:r>
      <w:r>
        <w:t xml:space="preserve">4 (September).</w:t>
      </w:r>
      <w:r>
        <w:t xml:space="preserve"> </w:t>
      </w:r>
      <w:hyperlink r:id="rId75">
        <w:r>
          <w:rPr>
            <w:rStyle w:val="Hyperlink"/>
          </w:rPr>
          <w:t xml:space="preserve">https://doi.org/10.3389/feduc.2019.00092</w:t>
        </w:r>
      </w:hyperlink>
      <w:r>
        <w:t xml:space="preserve">.</w:t>
      </w:r>
    </w:p>
    <w:bookmarkEnd w:id="76"/>
    <w:bookmarkStart w:id="78" w:name="ref-esiyok_acceptance_2025"/>
    <w:p>
      <w:pPr>
        <w:pStyle w:val="Bibliography"/>
      </w:pPr>
      <w:r>
        <w:t xml:space="preserve">Esiyok, Elif, Sahin Gokcearslan, and Kemal Gurkan Kucukergin. 2025.</w:t>
      </w:r>
      <w:r>
        <w:t xml:space="preserve"> </w:t>
      </w:r>
      <w:r>
        <w:t xml:space="preserve">“Acceptance of</w:t>
      </w:r>
      <w:r>
        <w:t xml:space="preserve"> </w:t>
      </w:r>
      <w:r>
        <w:t xml:space="preserve">Educational</w:t>
      </w:r>
      <w:r>
        <w:t xml:space="preserve"> </w:t>
      </w:r>
      <w:r>
        <w:t xml:space="preserve">Use</w:t>
      </w:r>
      <w:r>
        <w:t xml:space="preserve"> </w:t>
      </w:r>
      <w:r>
        <w:t xml:space="preserve">of</w:t>
      </w:r>
      <w:r>
        <w:t xml:space="preserve"> </w:t>
      </w:r>
      <w:r>
        <w:t xml:space="preserve">AI</w:t>
      </w:r>
      <w:r>
        <w:t xml:space="preserve"> </w:t>
      </w:r>
      <w:r>
        <w:t xml:space="preserve">Chatbots</w:t>
      </w:r>
      <w:r>
        <w:t xml:space="preserve"> </w:t>
      </w:r>
      <w:r>
        <w:t xml:space="preserve">in the</w:t>
      </w:r>
      <w:r>
        <w:t xml:space="preserve"> </w:t>
      </w:r>
      <w:r>
        <w:t xml:space="preserve">Context</w:t>
      </w:r>
      <w:r>
        <w:t xml:space="preserve"> </w:t>
      </w:r>
      <w:r>
        <w:t xml:space="preserve">of</w:t>
      </w:r>
      <w:r>
        <w:t xml:space="preserve"> </w:t>
      </w:r>
      <w:r>
        <w:t xml:space="preserve">Self</w:t>
      </w:r>
      <w:r>
        <w:t xml:space="preserve">-</w:t>
      </w:r>
      <w:r>
        <w:t xml:space="preserve">Directed</w:t>
      </w:r>
      <w:r>
        <w:t xml:space="preserve"> </w:t>
      </w:r>
      <w:r>
        <w:t xml:space="preserve">Learning</w:t>
      </w:r>
      <w:r>
        <w:t xml:space="preserve"> </w:t>
      </w:r>
      <w:r>
        <w:t xml:space="preserve">with</w:t>
      </w:r>
      <w:r>
        <w:t xml:space="preserve"> </w:t>
      </w:r>
      <w:r>
        <w:t xml:space="preserve">Technology</w:t>
      </w:r>
      <w:r>
        <w:t xml:space="preserve"> </w:t>
      </w:r>
      <w:r>
        <w:t xml:space="preserve">and</w:t>
      </w:r>
      <w:r>
        <w:t xml:space="preserve"> </w:t>
      </w:r>
      <w:r>
        <w:t xml:space="preserve">ICT</w:t>
      </w:r>
      <w:r>
        <w:t xml:space="preserve"> </w:t>
      </w:r>
      <w:r>
        <w:t xml:space="preserve">Self</w:t>
      </w:r>
      <w:r>
        <w:t xml:space="preserve">-</w:t>
      </w:r>
      <w:r>
        <w:t xml:space="preserve">Efficacy</w:t>
      </w:r>
      <w:r>
        <w:t xml:space="preserve"> </w:t>
      </w:r>
      <w:r>
        <w:t xml:space="preserve">of</w:t>
      </w:r>
      <w:r>
        <w:t xml:space="preserve"> </w:t>
      </w:r>
      <w:r>
        <w:t xml:space="preserve">Undergraduate</w:t>
      </w:r>
      <w:r>
        <w:t xml:space="preserve"> </w:t>
      </w:r>
      <w:r>
        <w:t xml:space="preserve">Students</w:t>
      </w:r>
      <w:r>
        <w:t xml:space="preserve">.”</w:t>
      </w:r>
      <w:r>
        <w:t xml:space="preserve"> </w:t>
      </w:r>
      <w:r>
        <w:rPr>
          <w:i/>
          <w:iCs/>
        </w:rPr>
        <w:t xml:space="preserve">International Journal of Human–Computer Interaction</w:t>
      </w:r>
      <w:r>
        <w:t xml:space="preserve"> </w:t>
      </w:r>
      <w:r>
        <w:t xml:space="preserve">41 (1): 641–50.</w:t>
      </w:r>
      <w:r>
        <w:t xml:space="preserve"> </w:t>
      </w:r>
      <w:hyperlink r:id="rId77">
        <w:r>
          <w:rPr>
            <w:rStyle w:val="Hyperlink"/>
          </w:rPr>
          <w:t xml:space="preserve">https://doi.org/10.1080/10447318.2024.2303557</w:t>
        </w:r>
      </w:hyperlink>
      <w:r>
        <w:t xml:space="preserve">.</w:t>
      </w:r>
    </w:p>
    <w:bookmarkEnd w:id="78"/>
    <w:bookmarkStart w:id="80" w:name="ref-geest_community_2026"/>
    <w:p>
      <w:pPr>
        <w:pStyle w:val="Bibliography"/>
      </w:pPr>
      <w:r>
        <w:t xml:space="preserve">Geest, Geert van, Daniel Thomas-Lopez, Anna A. Feitzinger, et al. 2026.</w:t>
      </w:r>
      <w:r>
        <w:t xml:space="preserve"> </w:t>
      </w:r>
      <w:r>
        <w:rPr>
          <w:i/>
          <w:iCs/>
        </w:rPr>
        <w:t xml:space="preserve">Community Needs for</w:t>
      </w:r>
      <w:r>
        <w:rPr>
          <w:i/>
          <w:iCs/>
        </w:rPr>
        <w:t xml:space="preserve"> </w:t>
      </w:r>
      <w:r>
        <w:rPr>
          <w:i/>
          <w:iCs/>
        </w:rPr>
        <w:t xml:space="preserve">FAIR</w:t>
      </w:r>
      <w:r>
        <w:rPr>
          <w:i/>
          <w:iCs/>
        </w:rPr>
        <w:t xml:space="preserve"> </w:t>
      </w:r>
      <w:r>
        <w:rPr>
          <w:i/>
          <w:iCs/>
        </w:rPr>
        <w:t xml:space="preserve">Pathogen Data</w:t>
      </w:r>
      <w:r>
        <w:t xml:space="preserve">. bioRxiv.</w:t>
      </w:r>
      <w:r>
        <w:t xml:space="preserve"> </w:t>
      </w:r>
      <w:hyperlink r:id="rId79">
        <w:r>
          <w:rPr>
            <w:rStyle w:val="Hyperlink"/>
          </w:rPr>
          <w:t xml:space="preserve">https://doi.org/10.64898/2026.04.14.718420</w:t>
        </w:r>
      </w:hyperlink>
      <w:r>
        <w:t xml:space="preserve">.</w:t>
      </w:r>
    </w:p>
    <w:bookmarkEnd w:id="80"/>
    <w:bookmarkStart w:id="82"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81">
        <w:r>
          <w:rPr>
            <w:rStyle w:val="Hyperlink"/>
          </w:rPr>
          <w:t xml:space="preserve">https://doi.org/10.1177/0192512114541562</w:t>
        </w:r>
      </w:hyperlink>
      <w:r>
        <w:t xml:space="preserve">.</w:t>
      </w:r>
    </w:p>
    <w:bookmarkEnd w:id="82"/>
    <w:bookmarkStart w:id="84"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83">
        <w:r>
          <w:rPr>
            <w:rStyle w:val="Hyperlink"/>
          </w:rPr>
          <w:t xml:space="preserve">https://doi.org/10.2196/13423</w:t>
        </w:r>
      </w:hyperlink>
      <w:r>
        <w:t xml:space="preserve">.</w:t>
      </w:r>
    </w:p>
    <w:bookmarkEnd w:id="84"/>
    <w:bookmarkStart w:id="86"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85">
        <w:r>
          <w:rPr>
            <w:rStyle w:val="Hyperlink"/>
          </w:rPr>
          <w:t xml:space="preserve">https://doi.org/10.1145/3747588</w:t>
        </w:r>
      </w:hyperlink>
      <w:r>
        <w:t xml:space="preserve">.</w:t>
      </w:r>
    </w:p>
    <w:bookmarkEnd w:id="86"/>
    <w:bookmarkStart w:id="88"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87">
        <w:r>
          <w:rPr>
            <w:rStyle w:val="Hyperlink"/>
          </w:rPr>
          <w:t xml:space="preserve">https://doi.org/10.1038/s41597-022-01325-2</w:t>
        </w:r>
      </w:hyperlink>
      <w:r>
        <w:t xml:space="preserve">.</w:t>
      </w:r>
    </w:p>
    <w:bookmarkEnd w:id="88"/>
    <w:bookmarkStart w:id="90" w:name="ref-lelescu_exploring_2025"/>
    <w:p>
      <w:pPr>
        <w:pStyle w:val="Bibliography"/>
      </w:pPr>
      <w:r>
        <w:t xml:space="preserve">Lelescu, Ana, Simona Sava, Gabriela Grosseck, and Laura Malita. 2025.</w:t>
      </w:r>
      <w:r>
        <w:t xml:space="preserve"> </w:t>
      </w:r>
      <w:r>
        <w:t xml:space="preserve">“Exploring Trust in Generative</w:t>
      </w:r>
      <w:r>
        <w:t xml:space="preserve"> </w:t>
      </w:r>
      <w:r>
        <w:t xml:space="preserve">AI</w:t>
      </w:r>
      <w:r>
        <w:t xml:space="preserve"> </w:t>
      </w:r>
      <w:r>
        <w:t xml:space="preserve">for Higher Education Institutions: A Systematic Literature Review Focused on Educators.”</w:t>
      </w:r>
      <w:r>
        <w:t xml:space="preserve"> </w:t>
      </w:r>
      <w:r>
        <w:rPr>
          <w:i/>
          <w:iCs/>
        </w:rPr>
        <w:t xml:space="preserve">Humanities and Social Sciences Communications</w:t>
      </w:r>
      <w:r>
        <w:t xml:space="preserve"> </w:t>
      </w:r>
      <w:r>
        <w:t xml:space="preserve">12 (1): 1961.</w:t>
      </w:r>
      <w:r>
        <w:t xml:space="preserve"> </w:t>
      </w:r>
      <w:hyperlink r:id="rId89">
        <w:r>
          <w:rPr>
            <w:rStyle w:val="Hyperlink"/>
          </w:rPr>
          <w:t xml:space="preserve">https://doi.org/10.1057/s41599-025-06253-1</w:t>
        </w:r>
      </w:hyperlink>
      <w:r>
        <w:t xml:space="preserve">.</w:t>
      </w:r>
    </w:p>
    <w:bookmarkEnd w:id="90"/>
    <w:bookmarkStart w:id="92"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91">
        <w:r>
          <w:rPr>
            <w:rStyle w:val="Hyperlink"/>
          </w:rPr>
          <w:t xml:space="preserve">https://doi.org/10.1016/j.heliyon.2023.e15733</w:t>
        </w:r>
      </w:hyperlink>
      <w:r>
        <w:t xml:space="preserve">.</w:t>
      </w:r>
    </w:p>
    <w:bookmarkEnd w:id="92"/>
    <w:bookmarkStart w:id="94" w:name="ref-meng_systematic_2024"/>
    <w:p>
      <w:pPr>
        <w:pStyle w:val="Bibliography"/>
      </w:pPr>
      <w:r>
        <w:t xml:space="preserve">Meng, Wentao, Lei Yu, Chen Liu, Nengchao Pan, Xiawen Pang, and Yunyun Zhu. 2024.</w:t>
      </w:r>
      <w:r>
        <w:t xml:space="preserve"> </w:t>
      </w:r>
      <w:r>
        <w:t xml:space="preserve">“A Systematic Review of the Effectiveness of Online Learning in Higher Education During the</w:t>
      </w:r>
      <w:r>
        <w:t xml:space="preserve"> </w:t>
      </w:r>
      <w:r>
        <w:t xml:space="preserve">COVID</w:t>
      </w:r>
      <w:r>
        <w:t xml:space="preserve">-19 Pandemic Period.”</w:t>
      </w:r>
      <w:r>
        <w:t xml:space="preserve"> </w:t>
      </w:r>
      <w:r>
        <w:rPr>
          <w:i/>
          <w:iCs/>
        </w:rPr>
        <w:t xml:space="preserve">Frontiers in Education</w:t>
      </w:r>
      <w:r>
        <w:t xml:space="preserve"> </w:t>
      </w:r>
      <w:r>
        <w:t xml:space="preserve">8 (January).</w:t>
      </w:r>
      <w:r>
        <w:t xml:space="preserve"> </w:t>
      </w:r>
      <w:hyperlink r:id="rId93">
        <w:r>
          <w:rPr>
            <w:rStyle w:val="Hyperlink"/>
          </w:rPr>
          <w:t xml:space="preserve">https://doi.org/10.3389/feduc.2023.1334153</w:t>
        </w:r>
      </w:hyperlink>
      <w:r>
        <w:t xml:space="preserve">.</w:t>
      </w:r>
    </w:p>
    <w:bookmarkEnd w:id="94"/>
    <w:bookmarkStart w:id="96"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95">
        <w:r>
          <w:rPr>
            <w:rStyle w:val="Hyperlink"/>
          </w:rPr>
          <w:t xml:space="preserve">https://doi.org/10.1177/002224378302000204</w:t>
        </w:r>
      </w:hyperlink>
      <w:r>
        <w:t xml:space="preserve">.</w:t>
      </w:r>
    </w:p>
    <w:bookmarkEnd w:id="96"/>
    <w:bookmarkStart w:id="98"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7">
        <w:r>
          <w:rPr>
            <w:rStyle w:val="Hyperlink"/>
          </w:rPr>
          <w:t xml:space="preserve">https://www.R-project.org/</w:t>
        </w:r>
      </w:hyperlink>
      <w:r>
        <w:t xml:space="preserve">.</w:t>
      </w:r>
    </w:p>
    <w:bookmarkEnd w:id="98"/>
    <w:bookmarkStart w:id="100" w:name="ref-rocha_past_2022"/>
    <w:p>
      <w:pPr>
        <w:pStyle w:val="Bibliography"/>
      </w:pPr>
      <w:r>
        <w:t xml:space="preserve">Rocha, Mariana, Luisa Massarani, Sandro José De Souza, and Ana Tereza R. De Vasconcelos. 2022.</w:t>
      </w:r>
      <w:r>
        <w:t xml:space="preserve"> </w:t>
      </w:r>
      <w:r>
        <w:t xml:space="preserve">“The Past, Present and Future of Genomics and Bioinformatics:</w:t>
      </w:r>
      <w:r>
        <w:t xml:space="preserve"> </w:t>
      </w:r>
      <w:r>
        <w:t xml:space="preserve">A</w:t>
      </w:r>
      <w:r>
        <w:t xml:space="preserve"> </w:t>
      </w:r>
      <w:r>
        <w:t xml:space="preserve">Survey of</w:t>
      </w:r>
      <w:r>
        <w:t xml:space="preserve"> </w:t>
      </w:r>
      <w:r>
        <w:t xml:space="preserve">Brazilian</w:t>
      </w:r>
      <w:r>
        <w:t xml:space="preserve"> </w:t>
      </w:r>
      <w:r>
        <w:t xml:space="preserve">Scientists.”</w:t>
      </w:r>
      <w:r>
        <w:t xml:space="preserve"> </w:t>
      </w:r>
      <w:r>
        <w:rPr>
          <w:i/>
          <w:iCs/>
        </w:rPr>
        <w:t xml:space="preserve">Genetics and Molecular Biology</w:t>
      </w:r>
      <w:r>
        <w:t xml:space="preserve"> </w:t>
      </w:r>
      <w:r>
        <w:t xml:space="preserve">45 (2): e20210354.</w:t>
      </w:r>
      <w:r>
        <w:t xml:space="preserve"> </w:t>
      </w:r>
      <w:hyperlink r:id="rId99">
        <w:r>
          <w:rPr>
            <w:rStyle w:val="Hyperlink"/>
          </w:rPr>
          <w:t xml:space="preserve">https://doi.org/10.1590/1678-4685-gmb-2021-0354</w:t>
        </w:r>
      </w:hyperlink>
      <w:r>
        <w:t xml:space="preserve">.</w:t>
      </w:r>
    </w:p>
    <w:bookmarkEnd w:id="100"/>
    <w:bookmarkStart w:id="102"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101">
        <w:r>
          <w:rPr>
            <w:rStyle w:val="Hyperlink"/>
          </w:rPr>
          <w:t xml:space="preserve">https://doi.org/10.1002/qub2.70014</w:t>
        </w:r>
      </w:hyperlink>
      <w:r>
        <w:t xml:space="preserve">.</w:t>
      </w:r>
    </w:p>
    <w:bookmarkEnd w:id="102"/>
    <w:bookmarkStart w:id="104" w:name="ref-sangeda_baseline_2021"/>
    <w:p>
      <w:pPr>
        <w:pStyle w:val="Bibliography"/>
      </w:pPr>
      <w:r>
        <w:t xml:space="preserve">Sangeda, Raphael Zozimus, Aneth David Mwakilili, Upendo Masamu, et al. 2021.</w:t>
      </w:r>
      <w:r>
        <w:t xml:space="preserve"> </w:t>
      </w:r>
      <w:r>
        <w:t xml:space="preserve">“A</w:t>
      </w:r>
      <w:r>
        <w:t xml:space="preserve"> </w:t>
      </w:r>
      <w:r>
        <w:t xml:space="preserve">Baseline</w:t>
      </w:r>
      <w:r>
        <w:t xml:space="preserve"> </w:t>
      </w:r>
      <w:r>
        <w:t xml:space="preserve">Evaluation</w:t>
      </w:r>
      <w:r>
        <w:t xml:space="preserve"> </w:t>
      </w:r>
      <w:r>
        <w:t xml:space="preserve">of</w:t>
      </w:r>
      <w:r>
        <w:t xml:space="preserve"> </w:t>
      </w:r>
      <w:r>
        <w:t xml:space="preserve">Bioinformatics</w:t>
      </w:r>
      <w:r>
        <w:t xml:space="preserve"> </w:t>
      </w:r>
      <w:r>
        <w:t xml:space="preserve">Capacity</w:t>
      </w:r>
      <w:r>
        <w:t xml:space="preserve"> </w:t>
      </w:r>
      <w:r>
        <w:t xml:space="preserve">in</w:t>
      </w:r>
      <w:r>
        <w:t xml:space="preserve"> </w:t>
      </w:r>
      <w:r>
        <w:t xml:space="preserve">Tanzania</w:t>
      </w:r>
      <w:r>
        <w:t xml:space="preserve"> </w:t>
      </w:r>
      <w:r>
        <w:t xml:space="preserve">Reveals</w:t>
      </w:r>
      <w:r>
        <w:t xml:space="preserve"> </w:t>
      </w:r>
      <w:r>
        <w:t xml:space="preserve">Areas</w:t>
      </w:r>
      <w:r>
        <w:t xml:space="preserve"> </w:t>
      </w:r>
      <w:r>
        <w:t xml:space="preserve">for</w:t>
      </w:r>
      <w:r>
        <w:t xml:space="preserve"> </w:t>
      </w:r>
      <w:r>
        <w:t xml:space="preserve">Training</w:t>
      </w:r>
      <w:r>
        <w:t xml:space="preserve">.”</w:t>
      </w:r>
      <w:r>
        <w:t xml:space="preserve"> </w:t>
      </w:r>
      <w:r>
        <w:rPr>
          <w:i/>
          <w:iCs/>
        </w:rPr>
        <w:t xml:space="preserve">Frontiers in</w:t>
      </w:r>
      <w:r>
        <w:rPr>
          <w:i/>
          <w:iCs/>
        </w:rPr>
        <w:t xml:space="preserve"> </w:t>
      </w:r>
      <w:r>
        <w:rPr>
          <w:i/>
          <w:iCs/>
        </w:rPr>
        <w:t xml:space="preserve">Education</w:t>
      </w:r>
      <w:r>
        <w:t xml:space="preserve"> </w:t>
      </w:r>
      <w:r>
        <w:t xml:space="preserve">6 (June): 665313.</w:t>
      </w:r>
      <w:r>
        <w:t xml:space="preserve"> </w:t>
      </w:r>
      <w:hyperlink r:id="rId103">
        <w:r>
          <w:rPr>
            <w:rStyle w:val="Hyperlink"/>
          </w:rPr>
          <w:t xml:space="preserve">https://doi.org/10.3389/feduc.2021.665313</w:t>
        </w:r>
      </w:hyperlink>
      <w:r>
        <w:t xml:space="preserve">.</w:t>
      </w:r>
    </w:p>
    <w:bookmarkEnd w:id="104"/>
    <w:bookmarkStart w:id="106" w:name="ref-sheeran_intentionbehavior_2016"/>
    <w:p>
      <w:pPr>
        <w:pStyle w:val="Bibliography"/>
      </w:pPr>
      <w:r>
        <w:t xml:space="preserve">Sheeran, Paschal, and Thomas L. Webb. 2016.</w:t>
      </w:r>
      <w:r>
        <w:t xml:space="preserve"> </w:t>
      </w:r>
      <w:r>
        <w:t xml:space="preserve">“The</w:t>
      </w:r>
      <w:r>
        <w:t xml:space="preserve"> </w:t>
      </w:r>
      <w:r>
        <w:t xml:space="preserve">Intention</w:t>
      </w:r>
      <w:r>
        <w:t xml:space="preserve">–</w:t>
      </w:r>
      <w:r>
        <w:t xml:space="preserve">Behavior</w:t>
      </w:r>
      <w:r>
        <w:t xml:space="preserve"> </w:t>
      </w:r>
      <w:r>
        <w:t xml:space="preserve">Gap</w:t>
      </w:r>
      <w:r>
        <w:t xml:space="preserve">.”</w:t>
      </w:r>
      <w:r>
        <w:t xml:space="preserve"> </w:t>
      </w:r>
      <w:r>
        <w:rPr>
          <w:i/>
          <w:iCs/>
        </w:rPr>
        <w:t xml:space="preserve">Social and Personality Psychology Compass</w:t>
      </w:r>
      <w:r>
        <w:t xml:space="preserve"> </w:t>
      </w:r>
      <w:r>
        <w:t xml:space="preserve">10 (9): 503–18.</w:t>
      </w:r>
      <w:r>
        <w:t xml:space="preserve"> </w:t>
      </w:r>
      <w:hyperlink r:id="rId105">
        <w:r>
          <w:rPr>
            <w:rStyle w:val="Hyperlink"/>
          </w:rPr>
          <w:t xml:space="preserve">https://doi.org/10.1111/spc3.12265</w:t>
        </w:r>
      </w:hyperlink>
      <w:r>
        <w:t xml:space="preserve">.</w:t>
      </w:r>
    </w:p>
    <w:bookmarkEnd w:id="106"/>
    <w:bookmarkStart w:id="108" w:name="ref-sidhu_ai_2024"/>
    <w:p>
      <w:pPr>
        <w:pStyle w:val="Bibliography"/>
      </w:pPr>
      <w:r>
        <w:t xml:space="preserve">Sidhu, Gursahildeep Singh, Md Abu Sayem, Nazifa Taslima, Ahmed Selim Anwar, Fariba Chowdhury, and Manataka Rowshon. 2024.</w:t>
      </w:r>
      <w:r>
        <w:t xml:space="preserve"> </w:t>
      </w:r>
      <w:r>
        <w:t xml:space="preserve">“</w:t>
      </w:r>
      <w:r>
        <w:t xml:space="preserve">AI</w:t>
      </w:r>
      <w:r>
        <w:t xml:space="preserve"> </w:t>
      </w:r>
      <w:r>
        <w:t xml:space="preserve">AND</w:t>
      </w:r>
      <w:r>
        <w:t xml:space="preserve"> </w:t>
      </w:r>
      <w:r>
        <w:t xml:space="preserve">WORKFORCE</w:t>
      </w:r>
      <w:r>
        <w:t xml:space="preserve"> </w:t>
      </w:r>
      <w:r>
        <w:t xml:space="preserve">DEVELOPMENT</w:t>
      </w:r>
      <w:r>
        <w:t xml:space="preserve">:</w:t>
      </w:r>
      <w:r>
        <w:t xml:space="preserve"> </w:t>
      </w:r>
      <w:r>
        <w:t xml:space="preserve">A</w:t>
      </w:r>
      <w:r>
        <w:t xml:space="preserve"> </w:t>
      </w:r>
      <w:r>
        <w:t xml:space="preserve">COMPARATIVE</w:t>
      </w:r>
      <w:r>
        <w:t xml:space="preserve"> </w:t>
      </w:r>
      <w:r>
        <w:t xml:space="preserve">ANALYSIS</w:t>
      </w:r>
      <w:r>
        <w:t xml:space="preserve"> </w:t>
      </w:r>
      <w:r>
        <w:t xml:space="preserve">OF</w:t>
      </w:r>
      <w:r>
        <w:t xml:space="preserve"> </w:t>
      </w:r>
      <w:r>
        <w:t xml:space="preserve">SKILL</w:t>
      </w:r>
      <w:r>
        <w:t xml:space="preserve"> </w:t>
      </w:r>
      <w:r>
        <w:t xml:space="preserve">GAPS</w:t>
      </w:r>
      <w:r>
        <w:t xml:space="preserve"> </w:t>
      </w:r>
      <w:r>
        <w:t xml:space="preserve">AND</w:t>
      </w:r>
      <w:r>
        <w:t xml:space="preserve"> </w:t>
      </w:r>
      <w:r>
        <w:t xml:space="preserve">TRAINING</w:t>
      </w:r>
      <w:r>
        <w:t xml:space="preserve"> </w:t>
      </w:r>
      <w:r>
        <w:t xml:space="preserve">NEEDS</w:t>
      </w:r>
      <w:r>
        <w:t xml:space="preserve"> </w:t>
      </w:r>
      <w:r>
        <w:t xml:space="preserve">IN</w:t>
      </w:r>
      <w:r>
        <w:t xml:space="preserve"> </w:t>
      </w:r>
      <w:r>
        <w:t xml:space="preserve">EMERGING</w:t>
      </w:r>
      <w:r>
        <w:t xml:space="preserve"> </w:t>
      </w:r>
      <w:r>
        <w:t xml:space="preserve">ECONOMIES</w:t>
      </w:r>
      <w:r>
        <w:t xml:space="preserve">.”</w:t>
      </w:r>
      <w:r>
        <w:t xml:space="preserve"> </w:t>
      </w:r>
      <w:r>
        <w:rPr>
          <w:i/>
          <w:iCs/>
        </w:rPr>
        <w:t xml:space="preserve">International Journal of Business and Management Sciences</w:t>
      </w:r>
      <w:r>
        <w:t xml:space="preserve"> </w:t>
      </w:r>
      <w:r>
        <w:t xml:space="preserve">4 (08): 12–28.</w:t>
      </w:r>
      <w:r>
        <w:t xml:space="preserve"> </w:t>
      </w:r>
      <w:hyperlink r:id="rId107">
        <w:r>
          <w:rPr>
            <w:rStyle w:val="Hyperlink"/>
          </w:rPr>
          <w:t xml:space="preserve">https://doi.org/10.55640/ijbms-04-08-03</w:t>
        </w:r>
      </w:hyperlink>
      <w:r>
        <w:t xml:space="preserve">.</w:t>
      </w:r>
    </w:p>
    <w:bookmarkEnd w:id="108"/>
    <w:bookmarkStart w:id="110" w:name="ref-sima_potential_2023"/>
    <w:p>
      <w:pPr>
        <w:pStyle w:val="Bibliography"/>
      </w:pPr>
      <w:r>
        <w:t xml:space="preserve">Sima, Ana-Claudia, and Tarcisio Mendes de Farias. 2023.</w:t>
      </w:r>
      <w:r>
        <w:t xml:space="preserve"> </w:t>
      </w:r>
      <w:r>
        <w:rPr>
          <w:i/>
          <w:iCs/>
        </w:rPr>
        <w:t xml:space="preserve">On the</w:t>
      </w:r>
      <w:r>
        <w:rPr>
          <w:i/>
          <w:iCs/>
        </w:rPr>
        <w:t xml:space="preserve"> </w:t>
      </w:r>
      <w:r>
        <w:rPr>
          <w:i/>
          <w:iCs/>
        </w:rPr>
        <w:t xml:space="preserve">Potential</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rPr>
          <w:i/>
          <w:iCs/>
        </w:rPr>
        <w:t xml:space="preserve"> </w:t>
      </w:r>
      <w:r>
        <w:rPr>
          <w:i/>
          <w:iCs/>
        </w:rPr>
        <w:t xml:space="preserve">Chatbots</w:t>
      </w:r>
      <w:r>
        <w:rPr>
          <w:i/>
          <w:iCs/>
        </w:rPr>
        <w:t xml:space="preserve"> </w:t>
      </w:r>
      <w:r>
        <w:rPr>
          <w:i/>
          <w:iCs/>
        </w:rPr>
        <w:t xml:space="preserve">for</w:t>
      </w:r>
      <w:r>
        <w:rPr>
          <w:i/>
          <w:iCs/>
        </w:rPr>
        <w:t xml:space="preserve"> </w:t>
      </w:r>
      <w:r>
        <w:rPr>
          <w:i/>
          <w:iCs/>
        </w:rPr>
        <w:t xml:space="preserve">Data</w:t>
      </w:r>
      <w:r>
        <w:rPr>
          <w:i/>
          <w:iCs/>
        </w:rPr>
        <w:t xml:space="preserve"> </w:t>
      </w:r>
      <w:r>
        <w:rPr>
          <w:i/>
          <w:iCs/>
        </w:rPr>
        <w:t xml:space="preserve">Exploration</w:t>
      </w:r>
      <w:r>
        <w:rPr>
          <w:i/>
          <w:iCs/>
        </w:rPr>
        <w:t xml:space="preserve"> </w:t>
      </w:r>
      <w:r>
        <w:rPr>
          <w:i/>
          <w:iCs/>
        </w:rPr>
        <w:t xml:space="preserve">of</w:t>
      </w:r>
      <w:r>
        <w:rPr>
          <w:i/>
          <w:iCs/>
        </w:rPr>
        <w:t xml:space="preserve"> </w:t>
      </w:r>
      <w:r>
        <w:rPr>
          <w:i/>
          <w:iCs/>
        </w:rPr>
        <w:t xml:space="preserve">Federated</w:t>
      </w:r>
      <w:r>
        <w:rPr>
          <w:i/>
          <w:iCs/>
        </w:rPr>
        <w:t xml:space="preserve"> </w:t>
      </w:r>
      <w:r>
        <w:rPr>
          <w:i/>
          <w:iCs/>
        </w:rPr>
        <w:t xml:space="preserve">Bioinformatics</w:t>
      </w:r>
      <w:r>
        <w:rPr>
          <w:i/>
          <w:iCs/>
        </w:rPr>
        <w:t xml:space="preserve"> </w:t>
      </w:r>
      <w:r>
        <w:rPr>
          <w:i/>
          <w:iCs/>
        </w:rPr>
        <w:t xml:space="preserve">Knowledge</w:t>
      </w:r>
      <w:r>
        <w:rPr>
          <w:i/>
          <w:iCs/>
        </w:rPr>
        <w:t xml:space="preserve"> </w:t>
      </w:r>
      <w:r>
        <w:rPr>
          <w:i/>
          <w:iCs/>
        </w:rPr>
        <w:t xml:space="preserve">Graphs</w:t>
      </w:r>
      <w:r>
        <w:t xml:space="preserve">. arXiv.</w:t>
      </w:r>
      <w:r>
        <w:t xml:space="preserve"> </w:t>
      </w:r>
      <w:hyperlink r:id="rId109">
        <w:r>
          <w:rPr>
            <w:rStyle w:val="Hyperlink"/>
          </w:rPr>
          <w:t xml:space="preserve">https://doi.org/10.48550/arXiv.2304.10427</w:t>
        </w:r>
      </w:hyperlink>
      <w:r>
        <w:t xml:space="preserve">.</w:t>
      </w:r>
    </w:p>
    <w:bookmarkEnd w:id="110"/>
    <w:bookmarkStart w:id="112" w:name="ref-velozo_mapping_2024"/>
    <w:p>
      <w:pPr>
        <w:pStyle w:val="Bibliography"/>
      </w:pPr>
      <w:r>
        <w:t xml:space="preserve">Velozo, Bernardo, Clara Carvalho, Rayssa Feitosa, et al. 2024.</w:t>
      </w:r>
      <w:r>
        <w:t xml:space="preserve"> </w:t>
      </w:r>
      <w:r>
        <w:t xml:space="preserve">“Mapping Educational Needs in Bioinformatics in</w:t>
      </w:r>
      <w:r>
        <w:t xml:space="preserve"> </w:t>
      </w:r>
      <w:r>
        <w:t xml:space="preserve">Brazil</w:t>
      </w:r>
      <w:r>
        <w:t xml:space="preserve">: Adapting</w:t>
      </w:r>
      <w:r>
        <w:t xml:space="preserve"> </w:t>
      </w:r>
      <w:r>
        <w:t xml:space="preserve">ISCB</w:t>
      </w:r>
      <w:r>
        <w:t xml:space="preserve"> </w:t>
      </w:r>
      <w:r>
        <w:t xml:space="preserve">3.0 Competencies to a Regional Context.”</w:t>
      </w:r>
      <w:r>
        <w:t xml:space="preserve"> </w:t>
      </w:r>
      <w:r>
        <w:rPr>
          <w:i/>
          <w:iCs/>
        </w:rPr>
        <w:t xml:space="preserve">Bioinformatics Advances</w:t>
      </w:r>
      <w:r>
        <w:t xml:space="preserve"> </w:t>
      </w:r>
      <w:r>
        <w:t xml:space="preserve">5 (1): vbaf311.</w:t>
      </w:r>
      <w:r>
        <w:t xml:space="preserve"> </w:t>
      </w:r>
      <w:hyperlink r:id="rId111">
        <w:r>
          <w:rPr>
            <w:rStyle w:val="Hyperlink"/>
          </w:rPr>
          <w:t xml:space="preserve">https://doi.org/10.1093/bioadv/vbaf311</w:t>
        </w:r>
      </w:hyperlink>
      <w:r>
        <w:t xml:space="preserve">.</w:t>
      </w:r>
    </w:p>
    <w:bookmarkEnd w:id="112"/>
    <w:bookmarkStart w:id="114"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113">
        <w:r>
          <w:rPr>
            <w:rStyle w:val="Hyperlink"/>
          </w:rPr>
          <w:t xml:space="preserve">https://doi.org/10.1371/journal.pcbi.1002245</w:t>
        </w:r>
      </w:hyperlink>
      <w:r>
        <w:t xml:space="preserve">.</w:t>
      </w:r>
    </w:p>
    <w:bookmarkEnd w:id="114"/>
    <w:bookmarkStart w:id="116" w:name="ref-wang_reimagining_2026"/>
    <w:p>
      <w:pPr>
        <w:pStyle w:val="Bibliography"/>
      </w:pPr>
      <w:r>
        <w:t xml:space="preserve">Wang, Zongran, Liu Mingzhuo, and A. Y. M. Atiquil Islam. 2026.</w:t>
      </w:r>
      <w:r>
        <w:t xml:space="preserve"> </w:t>
      </w:r>
      <w:r>
        <w:t xml:space="preserve">“Reimagining Teacher-</w:t>
      </w:r>
      <w:r>
        <w:t xml:space="preserve">AI</w:t>
      </w:r>
      <w:r>
        <w:t xml:space="preserve"> </w:t>
      </w:r>
      <w:r>
        <w:t xml:space="preserve">Co-Design in Learning Task Design: Trends and Perspectives.”</w:t>
      </w:r>
      <w:r>
        <w:t xml:space="preserve"> </w:t>
      </w:r>
      <w:r>
        <w:rPr>
          <w:i/>
          <w:iCs/>
        </w:rPr>
        <w:t xml:space="preserve">Humanities and Social Sciences Communications</w:t>
      </w:r>
      <w:r>
        <w:t xml:space="preserve"> </w:t>
      </w:r>
      <w:r>
        <w:t xml:space="preserve">13 (1): 757.</w:t>
      </w:r>
      <w:r>
        <w:t xml:space="preserve"> </w:t>
      </w:r>
      <w:hyperlink r:id="rId115">
        <w:r>
          <w:rPr>
            <w:rStyle w:val="Hyperlink"/>
          </w:rPr>
          <w:t xml:space="preserve">https://doi.org/10.1057/s41599-026-06981-y</w:t>
        </w:r>
      </w:hyperlink>
      <w:r>
        <w:t xml:space="preserve">.</w:t>
      </w:r>
    </w:p>
    <w:bookmarkEnd w:id="116"/>
    <w:bookmarkStart w:id="118"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117">
        <w:r>
          <w:rPr>
            <w:rStyle w:val="Hyperlink"/>
          </w:rPr>
          <w:t xml:space="preserve">https://doi.org/10.1038/s41746-026-02777-1</w:t>
        </w:r>
      </w:hyperlink>
      <w:r>
        <w:t xml:space="preserve">.</w:t>
      </w:r>
    </w:p>
    <w:bookmarkEnd w:id="118"/>
    <w:bookmarkStart w:id="120"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119">
        <w:r>
          <w:rPr>
            <w:rStyle w:val="Hyperlink"/>
          </w:rPr>
          <w:t xml:space="preserve">https://doi.org/10.14426/jovacet.v7i1.395</w:t>
        </w:r>
      </w:hyperlink>
      <w:r>
        <w:t xml:space="preserve">.</w:t>
      </w:r>
    </w:p>
    <w:bookmarkEnd w:id="120"/>
    <w:bookmarkStart w:id="122"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21">
        <w:r>
          <w:rPr>
            <w:rStyle w:val="Hyperlink"/>
          </w:rPr>
          <w:t xml:space="preserve">https://ggplot2.tidyverse.org</w:t>
        </w:r>
      </w:hyperlink>
      <w:r>
        <w:t xml:space="preserve">.</w:t>
      </w:r>
    </w:p>
    <w:bookmarkEnd w:id="122"/>
    <w:bookmarkStart w:id="124"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23">
        <w:r>
          <w:rPr>
            <w:rStyle w:val="Hyperlink"/>
          </w:rPr>
          <w:t xml:space="preserve">https://doi.org/10.32614/CRAN.package.dplyr</w:t>
        </w:r>
      </w:hyperlink>
      <w:r>
        <w:t xml:space="preserve">.</w:t>
      </w:r>
    </w:p>
    <w:bookmarkEnd w:id="124"/>
    <w:bookmarkStart w:id="126" w:name="ref-williams_international_2023"/>
    <w:p>
      <w:pPr>
        <w:pStyle w:val="Bibliography"/>
      </w:pPr>
      <w:r>
        <w:t xml:space="preserve">Williams, Jason J., Rochelle E. Tractenberg, Bérénice Batut, et al. 2023.</w:t>
      </w:r>
      <w:r>
        <w:t xml:space="preserve"> </w:t>
      </w:r>
      <w:r>
        <w:t xml:space="preserve">“An International Consensus on Effective, Inclusive, and Career-Spanning Short-Format Training in the Life Sciences and Beyond.”</w:t>
      </w:r>
      <w:r>
        <w:t xml:space="preserve"> </w:t>
      </w:r>
      <w:r>
        <w:rPr>
          <w:i/>
          <w:iCs/>
        </w:rPr>
        <w:t xml:space="preserve">PLOS ONE</w:t>
      </w:r>
      <w:r>
        <w:t xml:space="preserve"> </w:t>
      </w:r>
      <w:r>
        <w:t xml:space="preserve">18 (11): e0293879.</w:t>
      </w:r>
      <w:r>
        <w:t xml:space="preserve"> </w:t>
      </w:r>
      <w:hyperlink r:id="rId125">
        <w:r>
          <w:rPr>
            <w:rStyle w:val="Hyperlink"/>
          </w:rPr>
          <w:t xml:space="preserve">https://doi.org/10.1371/journal.pone.0293879</w:t>
        </w:r>
      </w:hyperlink>
      <w:r>
        <w:t xml:space="preserve">.</w:t>
      </w:r>
    </w:p>
    <w:bookmarkEnd w:id="126"/>
    <w:bookmarkStart w:id="128" w:name="ref-wu_unlocking_2024"/>
    <w:p>
      <w:pPr>
        <w:pStyle w:val="Bibliography"/>
      </w:pPr>
      <w:r>
        <w:t xml:space="preserve">Wu, Di, Shuling Zhang, Zhiyuan Ma, Xiao-Guang Yue, and Rebecca Kechen Dong. 2024.</w:t>
      </w:r>
      <w:r>
        <w:t xml:space="preserve"> </w:t>
      </w:r>
      <w:r>
        <w:t xml:space="preserve">“Unlocking</w:t>
      </w:r>
      <w:r>
        <w:t xml:space="preserve"> </w:t>
      </w:r>
      <w:r>
        <w:t xml:space="preserve">Potential</w:t>
      </w:r>
      <w:r>
        <w:t xml:space="preserve">:</w:t>
      </w:r>
      <w:r>
        <w:t xml:space="preserve"> </w:t>
      </w:r>
      <w:r>
        <w:t xml:space="preserve">Key</w:t>
      </w:r>
      <w:r>
        <w:t xml:space="preserve"> </w:t>
      </w:r>
      <w:r>
        <w:t xml:space="preserve">Factors</w:t>
      </w:r>
      <w:r>
        <w:t xml:space="preserve"> </w:t>
      </w:r>
      <w:r>
        <w:t xml:space="preserve">Shaping</w:t>
      </w:r>
      <w:r>
        <w:t xml:space="preserve"> </w:t>
      </w:r>
      <w:r>
        <w:t xml:space="preserve">Undergraduate</w:t>
      </w:r>
      <w:r>
        <w:t xml:space="preserve"> </w:t>
      </w:r>
      <w:r>
        <w:t xml:space="preserve">Self</w:t>
      </w:r>
      <w:r>
        <w:t xml:space="preserve">-</w:t>
      </w:r>
      <w:r>
        <w:t xml:space="preserve">Directed</w:t>
      </w:r>
      <w:r>
        <w:t xml:space="preserve"> </w:t>
      </w:r>
      <w:r>
        <w:t xml:space="preserve">Learning</w:t>
      </w:r>
      <w:r>
        <w:t xml:space="preserve"> </w:t>
      </w:r>
      <w:r>
        <w:t xml:space="preserve">in</w:t>
      </w:r>
      <w:r>
        <w:t xml:space="preserve"> </w:t>
      </w:r>
      <w:r>
        <w:t xml:space="preserve">AI</w:t>
      </w:r>
      <w:r>
        <w:t xml:space="preserve">-</w:t>
      </w:r>
      <w:r>
        <w:t xml:space="preserve">Enhanced</w:t>
      </w:r>
      <w:r>
        <w:t xml:space="preserve"> </w:t>
      </w:r>
      <w:r>
        <w:t xml:space="preserve">Educational</w:t>
      </w:r>
      <w:r>
        <w:t xml:space="preserve"> </w:t>
      </w:r>
      <w:r>
        <w:t xml:space="preserve">Environments</w:t>
      </w:r>
      <w:r>
        <w:t xml:space="preserve">.”</w:t>
      </w:r>
      <w:r>
        <w:t xml:space="preserve"> </w:t>
      </w:r>
      <w:r>
        <w:rPr>
          <w:i/>
          <w:iCs/>
        </w:rPr>
        <w:t xml:space="preserve">Systems</w:t>
      </w:r>
      <w:r>
        <w:t xml:space="preserve"> </w:t>
      </w:r>
      <w:r>
        <w:t xml:space="preserve">12 (9): 332.</w:t>
      </w:r>
      <w:r>
        <w:t xml:space="preserve"> </w:t>
      </w:r>
      <w:hyperlink r:id="rId127">
        <w:r>
          <w:rPr>
            <w:rStyle w:val="Hyperlink"/>
          </w:rPr>
          <w:t xml:space="preserve">https://doi.org/10.3390/systems12090332</w:t>
        </w:r>
      </w:hyperlink>
      <w:r>
        <w:t xml:space="preserve">.</w:t>
      </w:r>
    </w:p>
    <w:bookmarkEnd w:id="128"/>
    <w:bookmarkEnd w:id="129"/>
    <w:bookmarkEnd w:id="130"/>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dcterms:created xsi:type="dcterms:W3CDTF">2026-07-23T11:56:59Z</dcterms:created>
  <dcterms:modified xsi:type="dcterms:W3CDTF">2026-07-23T11:56:59Z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plus demographic variables. Responses were analyzed as a single group and as clusters. For cluster analysis, respondents were represented as nodes in a correlation network built from course-topic ratings and Louvain community detection was applied to identify clusters. Cluster profiles were then characterized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there were high demands on reproducible data practices and computational methods. As course format,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human interaction in learning formats.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