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5.png" ContentType="image/png"/>
  <Override PartName="/word/media/rId18.png" ContentType="image/png"/>
  <Override PartName="/word/media/rId26.png" ContentType="image/png"/>
  <Override PartName="/word/media/rId30.png" ContentType="image/png"/>
  <Override PartName="/word/media/rId22.png" ContentType="image/png"/>
  <Override PartName="/word/media/rId41.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Characterization of heterogeneous bioinformatics training needs in the AI era</w:t>
      </w:r>
    </w:p>
    <w:p>
      <w:pPr>
        <w:pStyle w:val="Author"/>
      </w:pPr>
      <w:r>
        <w:t xml:space="preserve">Geert van Geest, Valeria Di Cola, Monique Zahn, Diana Marek, Gregoire Rossier, Wandrille Duchemin, Tania Wyss, Joana Carlevaro-Fita, Deepak Tanwar, Marion Vaucher, Patricia M. Palagi</w:t>
      </w:r>
    </w:p>
    <w:p>
      <w:pPr>
        <w:pStyle w:val="AbstractTitle"/>
      </w:pPr>
      <w:r>
        <w:t xml:space="preserve">Abstract</w:t>
      </w:r>
    </w:p>
    <w:p>
      <w:pPr>
        <w:pStyle w:val="Abstract"/>
      </w:pPr>
      <w:r>
        <w:rPr>
          <w:b/>
          <w:bCs/>
        </w:rPr>
        <w:t xml:space="preserve">Background</w:t>
      </w:r>
      <w:r>
        <w:t xml:space="preserve">: 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w:t>
      </w:r>
    </w:p>
    <w:p>
      <w:pPr>
        <w:pStyle w:val="Abstract"/>
      </w:pPr>
      <w:r>
        <w:rPr>
          <w:b/>
          <w:bCs/>
        </w:rPr>
        <w:t xml:space="preserve">Methods</w:t>
      </w:r>
      <w:r>
        <w:t xml:space="preserve">: We analyzed 260 responses collected over 6 weeks (March-April 2026), including Likert-type ratings for training topics, participation barriers, and preferred course formats, as well as demographic variables. Responses were analyzed as a single group and as clusters. For cluster analysis, respondents were represented as nodes in a correlation network built from course-topic ratings and Louvain community detection was applied to identify clusters. Each cluster was then characterized as a learner profile using topic priorities, barriers, format preferences, and demographics.</w:t>
      </w:r>
    </w:p>
    <w:p>
      <w:pPr>
        <w:pStyle w:val="Abstract"/>
      </w:pPr>
      <w:r>
        <w:rPr>
          <w:b/>
          <w:bCs/>
        </w:rPr>
        <w:t xml:space="preserve">Results</w:t>
      </w:r>
      <w:r>
        <w:t xml:space="preserve">: Respondents indicated their need for training across a total of 33 possible course topics. Four of the possible topics related to AI/LLM skills and all of them were in the top six of most needed topics. Other than AI, reproducible data practices and computational methods were in high demand. Concerning course formats,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w:t>
      </w:r>
    </w:p>
    <w:p>
      <w:pPr>
        <w:pStyle w:val="Abstract"/>
      </w:pPr>
      <w:r>
        <w:rPr>
          <w:b/>
          <w:bCs/>
        </w:rPr>
        <w:t xml:space="preserve">Conclusions</w:t>
      </w:r>
      <w:r>
        <w:t xml:space="preserve">: There is a clear need for skills in AI and reproducible research, and respondents favored formats involving human interaction. Network-based clustering revealed actionable training-need heterogeneity that is not captured by demographic stratification alone. Integrating these learner profiles into curriculum design can improve identification of course topics, format selection, and barrier mitigation, supporting more effective and responsive bioinformatics training programs, particularly in the context of AI and emerging technologies.</w:t>
      </w:r>
    </w:p>
    <w:bookmarkStart w:id="9" w:name="introduction"/>
    <w:p>
      <w:pPr>
        <w:pStyle w:val="Heading2"/>
      </w:pPr>
      <w:r>
        <w:t xml:space="preserve">1 Introduction</w:t>
      </w:r>
    </w:p>
    <w:p>
      <w:pPr>
        <w:pStyle w:val="FirstParagraph"/>
      </w:pPr>
      <w:r>
        <w:t xml:space="preserve">The rapid and continuous evolution of high-throughput experimental technologies, large-scale data infrastructures, and artificial intelligence (AI) makes bioinformatics training a necessity for life science researchers</w:t>
      </w:r>
      <w:r>
        <w:t xml:space="preserve"> </w:t>
      </w:r>
      <w:r>
        <w:t xml:space="preserve">(Via et al. 2011)</w:t>
      </w:r>
      <w:r>
        <w:t xml:space="preserve">. National and international training providers, such as the SIB Swiss Institute of Bioinformatics (SIB), aim to provide high-quality, effective short-format courses</w:t>
      </w:r>
      <w:r>
        <w:t xml:space="preserve"> </w:t>
      </w:r>
      <w:r>
        <w:t xml:space="preserve">(Williams et al. 2023)</w:t>
      </w:r>
      <w:r>
        <w:t xml:space="preserve"> </w:t>
      </w:r>
      <w:r>
        <w:t xml:space="preserve">to a heterogeneous audience at point of need. This audience ranges from academic PhD candidates requiring upskilling in specific analytical competences to corporate senior scientists or clinical personnel seeking broad overviews of emerging resources in computational biology.</w:t>
      </w:r>
    </w:p>
    <w:p>
      <w:pPr>
        <w:pStyle w:val="BodyText"/>
      </w:pPr>
      <w:r>
        <w:t xml:space="preserve">It is a continuous challenge to match the training needs of such a diverse audience. A frequently used method to understand such needs are training needs surveys</w:t>
      </w:r>
      <w:r>
        <w:t xml:space="preserve"> </w:t>
      </w:r>
      <w:r>
        <w:t xml:space="preserve">(e.g. Attwood et al. 2019; Sangeda et al. 2021; Rocha et al. 2022; Drew et al. 2023; Velozo et al. 2024; Geest et al. 2026)</w:t>
      </w:r>
      <w:r>
        <w:t xml:space="preserve">. These previous training needs surveys have analyzed various dimensions such as course topics, format, and logistics independently or sliced responses using classical demographic categories like career stage or geographic region. While informative, such an approach assumes that individuals within a demographic sub-group are homogeneous. However, demographic characteristics like career stage, region or sector do not necessarily explain common training needs; a post-doctoral researcher likely shares more training needs with a research technician in industry who works with similar data, than with a post-doctoral researcher working in a different domain.</w:t>
      </w:r>
    </w:p>
    <w:p>
      <w:pPr>
        <w:pStyle w:val="BodyText"/>
      </w:pPr>
      <w:r>
        <w:t xml:space="preserve">Clustering of survey responses can be highly valuable for understanding such respondent heterogeneity. The approach was already introduced in the eighties for market segmentation</w:t>
      </w:r>
      <w:r>
        <w:t xml:space="preserve"> </w:t>
      </w:r>
      <w:r>
        <w:t xml:space="preserve">(Punj and Stewart 1983)</w:t>
      </w:r>
      <w:r>
        <w:t xml:space="preserve">, and currently finds a wide range of applications</w:t>
      </w:r>
      <w:r>
        <w:t xml:space="preserve"> </w:t>
      </w:r>
      <w:r>
        <w:t xml:space="preserve">(Hooghe et al. 2016; Cheng et al. 2024; Hyde et al. 2019; Wenger and Lamamra 2024; Chung and Lee 2020)</w:t>
      </w:r>
      <w:r>
        <w:t xml:space="preserve">. For our case of bioinformatics training needs, identifying clusters can identify survey respondents with similar needs. Therefore, it can help training providers design curricula that are tailored to the specific needs of these sub-groups, rather than relying on broad demographic categories.</w:t>
      </w:r>
    </w:p>
    <w:p>
      <w:pPr>
        <w:pStyle w:val="BodyText"/>
      </w:pPr>
      <w:r>
        <w:t xml:space="preserve">In recent years, the fast growth of Artificial Intelligence (AI) and Large Language Models (LLMs) has transformed both the bioinformatics landscape and the nature of computational training itself</w:t>
      </w:r>
      <w:r>
        <w:t xml:space="preserve"> </w:t>
      </w:r>
      <w:r>
        <w:t xml:space="preserve">(Wen Bin Goh et al. 2026; Ruan et al. 2026)</w:t>
      </w:r>
      <w:r>
        <w:t xml:space="preserve">. Various generative AI tools have shifted how researchers write code</w:t>
      </w:r>
      <w:r>
        <w:t xml:space="preserve"> </w:t>
      </w:r>
      <w:r>
        <w:t xml:space="preserve">(Jiang et al. 2026)</w:t>
      </w:r>
      <w:r>
        <w:t xml:space="preserve">, automate workflows and retrieve data</w:t>
      </w:r>
      <w:r>
        <w:t xml:space="preserve"> </w:t>
      </w:r>
      <w:r>
        <w:t xml:space="preserve">(Sima and Farias 2023)</w:t>
      </w:r>
      <w:r>
        <w:t xml:space="preserve">. LLM and generative AI are heavily used by scientists</w:t>
      </w:r>
      <w:r>
        <w:t xml:space="preserve"> </w:t>
      </w:r>
      <w:r>
        <w:t xml:space="preserve">(Daepp et al. 2026)</w:t>
      </w:r>
      <w:r>
        <w:t xml:space="preserve">, and they are frequently used for education</w:t>
      </w:r>
      <w:r>
        <w:t xml:space="preserve"> </w:t>
      </w:r>
      <w:r>
        <w:t xml:space="preserve">(Bewersdorff et al. 2025; Wang et al. 2026)</w:t>
      </w:r>
      <w:r>
        <w:t xml:space="preserve">, both in the classroom and for self-directed learning</w:t>
      </w:r>
      <w:r>
        <w:t xml:space="preserve"> </w:t>
      </w:r>
      <w:r>
        <w:t xml:space="preserve">(Esiyok et al. 2025; Wu et al. 2024)</w:t>
      </w:r>
      <w:r>
        <w:t xml:space="preserve">. To understand the impact of AI on training needs, it is therefore important to identify what kind of AI-related topics are required by scientists. This can help training providers design courses that address the specific needs, and to ensure that AI-related topics are integrated into the curriculum in a way that is relevant and useful for all learners.</w:t>
      </w:r>
    </w:p>
    <w:p>
      <w:pPr>
        <w:pStyle w:val="BodyText"/>
      </w:pPr>
      <w:r>
        <w:t xml:space="preserve">This paper describes a data-driven framework for understanding training needs based on the SIB training needs survey in terms of course topics, formats, and barriers. By converting individual responses into a correlation graph, we identify clusters of respondents who share common training needs, regardless of their institutional or regional backgrounds, and characterize each cluster as a learner profile. We detail the underlying data preprocessing pipeline, a conceptual overview of graph construction, and the subsequent characterization of these learner profiles, with an emphasis on how AI can be incorporated in training programs.</w:t>
      </w:r>
    </w:p>
    <w:bookmarkEnd w:id="9"/>
    <w:bookmarkStart w:id="17" w:name="methods"/>
    <w:p>
      <w:pPr>
        <w:pStyle w:val="Heading2"/>
      </w:pPr>
      <w:r>
        <w:t xml:space="preserve">2 Methods</w:t>
      </w:r>
    </w:p>
    <w:bookmarkStart w:id="10" w:name="survey-design-and-distribution"/>
    <w:p>
      <w:pPr>
        <w:pStyle w:val="Heading3"/>
      </w:pPr>
      <w:r>
        <w:t xml:space="preserve">2.1 Survey design and distribution</w:t>
      </w:r>
    </w:p>
    <w:p>
      <w:pPr>
        <w:pStyle w:val="FirstParagraph"/>
      </w:pPr>
      <w:r>
        <w:t xml:space="preserve">The SIB training needs survey was designed to collect information using mostly multiple-choice and Likert-type questions. All survey questions, and anonymized responses, can be found on Zenodo (https://zenodo.org/records/20446763). At its core, the questionnaire evaluated course topics, barriers and formats using 5-point Likert-type scales:</w:t>
      </w:r>
    </w:p>
    <w:p>
      <w:pPr>
        <w:pStyle w:val="Compact"/>
        <w:numPr>
          <w:ilvl w:val="0"/>
          <w:numId w:val="1001"/>
        </w:numPr>
      </w:pPr>
      <w:r>
        <w:t xml:space="preserve">Training needs: Respondents evaluated their training needs for detailed sub-topics nested within five global computational domains:</w:t>
      </w:r>
      <w:r>
        <w:t xml:space="preserve"> </w:t>
      </w:r>
      <w:r>
        <w:rPr>
          <w:i/>
          <w:iCs/>
        </w:rPr>
        <w:t xml:space="preserve">Omics analysis</w:t>
      </w:r>
      <w:r>
        <w:t xml:space="preserve">,</w:t>
      </w:r>
      <w:r>
        <w:t xml:space="preserve"> </w:t>
      </w:r>
      <w:r>
        <w:rPr>
          <w:i/>
          <w:iCs/>
        </w:rPr>
        <w:t xml:space="preserve">Computational methods and AI</w:t>
      </w:r>
      <w:r>
        <w:t xml:space="preserve">,</w:t>
      </w:r>
      <w:r>
        <w:t xml:space="preserve"> </w:t>
      </w:r>
      <w:r>
        <w:rPr>
          <w:i/>
          <w:iCs/>
        </w:rPr>
        <w:t xml:space="preserve">Data management and knowledge representation</w:t>
      </w:r>
      <w:r>
        <w:t xml:space="preserve">,</w:t>
      </w:r>
      <w:r>
        <w:t xml:space="preserve"> </w:t>
      </w:r>
      <w:r>
        <w:rPr>
          <w:i/>
          <w:iCs/>
        </w:rPr>
        <w:t xml:space="preserve">Biomedicine and pathogens</w:t>
      </w:r>
      <w:r>
        <w:t xml:space="preserve">, and</w:t>
      </w:r>
      <w:r>
        <w:t xml:space="preserve"> </w:t>
      </w:r>
      <w:r>
        <w:rPr>
          <w:i/>
          <w:iCs/>
        </w:rPr>
        <w:t xml:space="preserve">Biodiversity and Ecology</w:t>
      </w:r>
      <w:r>
        <w:t xml:space="preserve">, which were quantified using an ordinal scale ranging from</w:t>
      </w:r>
      <w:r>
        <w:t xml:space="preserve"> </w:t>
      </w:r>
      <w:r>
        <w:t xml:space="preserve">‘Not needed’</w:t>
      </w:r>
      <w:r>
        <w:t xml:space="preserve"> </w:t>
      </w:r>
      <w:r>
        <w:t xml:space="preserve">to</w:t>
      </w:r>
      <w:r>
        <w:t xml:space="preserve"> </w:t>
      </w:r>
      <w:r>
        <w:t xml:space="preserve">‘Absolutely essential’</w:t>
      </w:r>
      <w:r>
        <w:t xml:space="preserve">.</w:t>
      </w:r>
    </w:p>
    <w:p>
      <w:pPr>
        <w:pStyle w:val="Compact"/>
        <w:numPr>
          <w:ilvl w:val="0"/>
          <w:numId w:val="1001"/>
        </w:numPr>
      </w:pPr>
      <w:r>
        <w:t xml:space="preserve">Perceived participation barriers: Participation barriers like course fees, travel distance, timing constraints, and prerequisite alignment were quantified using an ordinal scale ranging from</w:t>
      </w:r>
      <w:r>
        <w:t xml:space="preserve"> </w:t>
      </w:r>
      <w:r>
        <w:t xml:space="preserve">‘No barrier’</w:t>
      </w:r>
      <w:r>
        <w:t xml:space="preserve"> </w:t>
      </w:r>
      <w:r>
        <w:t xml:space="preserve">to</w:t>
      </w:r>
      <w:r>
        <w:t xml:space="preserve"> </w:t>
      </w:r>
      <w:r>
        <w:t xml:space="preserve">‘Critical barrier’</w:t>
      </w:r>
      <w:r>
        <w:t xml:space="preserve">.</w:t>
      </w:r>
    </w:p>
    <w:p>
      <w:pPr>
        <w:pStyle w:val="Compact"/>
        <w:numPr>
          <w:ilvl w:val="0"/>
          <w:numId w:val="1001"/>
        </w:numPr>
      </w:pPr>
      <w:r>
        <w:t xml:space="preserve">Preferred learning formats: Delivery formats like webinars, bring your own data, problem-based learning, multi-day intensive courses, self-paced e-learning, and AI-assisted learning were quantified using an ordinal scale ranging from</w:t>
      </w:r>
      <w:r>
        <w:t xml:space="preserve"> </w:t>
      </w:r>
      <w:r>
        <w:t xml:space="preserve">‘Strongly dislike’</w:t>
      </w:r>
      <w:r>
        <w:t xml:space="preserve"> </w:t>
      </w:r>
      <w:r>
        <w:t xml:space="preserve">to</w:t>
      </w:r>
      <w:r>
        <w:t xml:space="preserve"> </w:t>
      </w:r>
      <w:r>
        <w:t xml:space="preserve">‘Strongly like’</w:t>
      </w:r>
      <w:r>
        <w:t xml:space="preserve">.</w:t>
      </w:r>
    </w:p>
    <w:p>
      <w:pPr>
        <w:pStyle w:val="FirstParagraph"/>
      </w:pPr>
      <w:r>
        <w:t xml:space="preserve">Demographic data were also collected to characterize the respondent pool: career stage, geographic demographics (working country and Swiss canton), organization type (Academia, Healthcare, Industry, Non-profit), and historical interaction (time elapsed since attending their last SIB training course).</w:t>
      </w:r>
    </w:p>
    <w:p>
      <w:pPr>
        <w:pStyle w:val="BodyText"/>
      </w:pPr>
      <w:r>
        <w:t xml:space="preserve">The survey was distributed through the SIB training mailing list, the SIB network, various international communities (among which ELIXIR (https://elixir-europe.org/) and Life Science Trainers (https://lifescitrainers.org/)) and social media. The survey was open for responses for a period of 6 weeks, between March 17th and April 30th 2026, and participation was voluntary and anonymous.</w:t>
      </w:r>
    </w:p>
    <w:bookmarkEnd w:id="10"/>
    <w:bookmarkStart w:id="11" w:name="X5cc12eb322dfb056b29497e562e73102caa85a2"/>
    <w:p>
      <w:pPr>
        <w:pStyle w:val="Heading3"/>
      </w:pPr>
      <w:r>
        <w:t xml:space="preserve">2.2 Data preprocessing and missing value handling</w:t>
      </w:r>
    </w:p>
    <w:p>
      <w:pPr>
        <w:pStyle w:val="FirstParagraph"/>
      </w:pPr>
      <w:r>
        <w:t xml:space="preserve">For the questions on training needs, respondents were explicitly permitted to skip topics that were not relevant to their work. Consequently, non-responses within the training needs questions were treated as meaningful omissions, i.e. </w:t>
      </w:r>
      <w:r>
        <w:t xml:space="preserve">‘not relevant’</w:t>
      </w:r>
      <w:r>
        <w:t xml:space="preserve">. To preserve the complete respondent pool and avoid the biases, missing values were therefore imputed with the minimum ordinal score of 1, corresponding to a</w:t>
      </w:r>
      <w:r>
        <w:t xml:space="preserve"> </w:t>
      </w:r>
      <w:r>
        <w:rPr>
          <w:i/>
          <w:iCs/>
        </w:rPr>
        <w:t xml:space="preserve">“Not needed”</w:t>
      </w:r>
      <w:r>
        <w:t xml:space="preserve"> </w:t>
      </w:r>
      <w:r>
        <w:t xml:space="preserve">response. All data analysis steps were implemented in R (</w:t>
      </w:r>
      <w:r>
        <w:t xml:space="preserve">(R Core Team 2026)</w:t>
      </w:r>
      <w:r>
        <w:t xml:space="preserve">; version 4.3.1) using the packages dplyr</w:t>
      </w:r>
      <w:r>
        <w:t xml:space="preserve"> </w:t>
      </w:r>
      <w:r>
        <w:t xml:space="preserve">(Wickham et al. 2026)</w:t>
      </w:r>
      <w:r>
        <w:t xml:space="preserve"> </w:t>
      </w:r>
      <w:r>
        <w:t xml:space="preserve">for data manipulation and ggplot2</w:t>
      </w:r>
      <w:r>
        <w:t xml:space="preserve"> </w:t>
      </w:r>
      <w:r>
        <w:t xml:space="preserve">(Wickham 2016)</w:t>
      </w:r>
      <w:r>
        <w:t xml:space="preserve"> </w:t>
      </w:r>
      <w:r>
        <w:t xml:space="preserve">for visualization. All code can be found on Zenodo (https://zenodo.org/records/20446763).</w:t>
      </w:r>
    </w:p>
    <w:bookmarkEnd w:id="11"/>
    <w:bookmarkStart w:id="16" w:name="X5f4abdd9de2db5834a507f052ee22ebe97edb66"/>
    <w:p>
      <w:pPr>
        <w:pStyle w:val="Heading3"/>
      </w:pPr>
      <w:r>
        <w:t xml:space="preserve">2.3 Graph-based network and community detection</w:t>
      </w:r>
    </w:p>
    <w:p>
      <w:pPr>
        <w:pStyle w:val="FirstParagraph"/>
      </w:pPr>
      <w:r>
        <w:t xml:space="preserve">To define clusters of participants without relying on pre-existing demographic labels, we modeled the survey respondents using network analysis (</w:t>
      </w:r>
      <w:hyperlink w:anchor="fig-cluster-workflow">
        <w:r>
          <w:rPr>
            <w:rStyle w:val="Hyperlink"/>
          </w:rPr>
          <w:t xml:space="preserve">Figure 1</w:t>
        </w:r>
      </w:hyperlink>
      <w:r>
        <w:t xml:space="preserve">). In this network, each individual respondent is represented as a single node. For every possible pair of respondents, we calculated the Pearson correlation coefficient based on their responses across all training sub-topics. This score reflects the similarity in their training needs. These similarity scores form the connections (edges) between nodes, where the weight of the connection represents the strength of the positive correlation between those two responses. To eliminate weak background noise and prevent the network from becoming too dense, we filtered based on a threshold of the Pearson correlation coefficient. We calculated the 80th percentile of all positive correlations (corresponding to a correlation coefficient of 0.32) across the dataset and pruned any connection falling below this threshold. Unsupervised clustering of the filtered respondent network was performed using the Louvain community detection algorithm</w:t>
      </w:r>
      <w:r>
        <w:t xml:space="preserve"> </w:t>
      </w:r>
      <w:r>
        <w:t xml:space="preserve">(Blondel et al. 2008)</w:t>
      </w:r>
      <w:r>
        <w:t xml:space="preserve"> </w:t>
      </w:r>
      <w:r>
        <w:t xml:space="preserve">using a resolution of 1. The network analysis and community detection was conducted using the igraph package in R</w:t>
      </w:r>
      <w:r>
        <w:t xml:space="preserve"> </w:t>
      </w:r>
      <w:r>
        <w:t xml:space="preserve">(Csárdi et al. 2026)</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fig-cluster-workflow"/>
          <w:p>
            <w:pPr>
              <w:jc w:val="center"/>
            </w:pPr>
            <w:r>
              <w:drawing>
                <wp:inline>
                  <wp:extent cx="5943600" cy="3667922"/>
                  <wp:effectExtent b="0" l="0" r="0" t="0"/>
                  <wp:docPr descr="" title="" id="13" name="Picture"/>
                  <a:graphic>
                    <a:graphicData uri="http://schemas.openxmlformats.org/drawingml/2006/picture">
                      <pic:pic>
                        <pic:nvPicPr>
                          <pic:cNvPr descr="manuscript_files/figure-docx/mermaid-figure-1.png" id="14" name="Picture"/>
                          <pic:cNvPicPr>
                            <a:picLocks noChangeArrowheads="1" noChangeAspect="1"/>
                          </pic:cNvPicPr>
                        </pic:nvPicPr>
                        <pic:blipFill>
                          <a:blip r:embed="rId12"/>
                          <a:stretch>
                            <a:fillRect/>
                          </a:stretch>
                        </pic:blipFill>
                        <pic:spPr bwMode="auto">
                          <a:xfrm>
                            <a:off x="0" y="0"/>
                            <a:ext cx="5943600" cy="36679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Graph-based clustering workflow for identifying learner profiles. Respondents are modeled as nodes in a network, with edges representing pairwise correlation of training needs. Louvain community detection is applied to identify clusters of respondents with similar training needs, which are subsequently characterized as distinct learner profiles.</w:t>
            </w:r>
          </w:p>
          <w:bookmarkEnd w:id="15"/>
        </w:tc>
      </w:tr>
    </w:tbl>
    <w:bookmarkEnd w:id="16"/>
    <w:bookmarkEnd w:id="17"/>
    <w:bookmarkStart w:id="50" w:name="results"/>
    <w:p>
      <w:pPr>
        <w:pStyle w:val="Heading2"/>
      </w:pPr>
      <w:r>
        <w:t xml:space="preserve">3 Results</w:t>
      </w:r>
    </w:p>
    <w:bookmarkStart w:id="34" w:name="demographics-and-overall-responses"/>
    <w:p>
      <w:pPr>
        <w:pStyle w:val="Heading3"/>
      </w:pPr>
      <w:r>
        <w:t xml:space="preserve">3.1 Demographics and overall responses</w:t>
      </w:r>
    </w:p>
    <w:p>
      <w:pPr>
        <w:pStyle w:val="FirstParagraph"/>
      </w:pPr>
      <w:r>
        <w:t xml:space="preserve">A total of 260 responses were gathered, of which 175 (67.3%) were from Switzerland (</w:t>
      </w:r>
      <w:hyperlink w:anchor="fig-demographics">
        <w:r>
          <w:rPr>
            <w:rStyle w:val="Hyperlink"/>
          </w:rPr>
          <w:t xml:space="preserve">Figure 2</w:t>
        </w:r>
      </w:hyperlink>
      <w:r>
        <w:t xml:space="preserve"> </w:t>
      </w:r>
      <w:r>
        <w:t xml:space="preserve">A). Most respondents from Switzerland were spread across six cantons that all have a large university (</w:t>
      </w:r>
      <w:hyperlink w:anchor="fig-demographics">
        <w:r>
          <w:rPr>
            <w:rStyle w:val="Hyperlink"/>
          </w:rPr>
          <w:t xml:space="preserve">Figure 2</w:t>
        </w:r>
      </w:hyperlink>
      <w:r>
        <w:t xml:space="preserve"> </w:t>
      </w:r>
      <w:r>
        <w:t xml:space="preserve">B). Most respondents were working in academia (n = 215, 82.7%;</w:t>
      </w:r>
      <w:r>
        <w:t xml:space="preserve"> </w:t>
      </w:r>
      <w:hyperlink w:anchor="fig-demographics">
        <w:r>
          <w:rPr>
            <w:rStyle w:val="Hyperlink"/>
          </w:rPr>
          <w:t xml:space="preserve">Figure 2</w:t>
        </w:r>
      </w:hyperlink>
      <w:r>
        <w:t xml:space="preserve"> </w:t>
      </w:r>
      <w:r>
        <w:t xml:space="preserve">C). The career stage was distributed across academic professions (</w:t>
      </w:r>
      <w:hyperlink w:anchor="fig-demographics">
        <w:r>
          <w:rPr>
            <w:rStyle w:val="Hyperlink"/>
          </w:rPr>
          <w:t xml:space="preserve">Figure 2</w:t>
        </w:r>
      </w:hyperlink>
      <w:r>
        <w:t xml:space="preserve"> </w:t>
      </w:r>
      <w:r>
        <w:t xml:space="preserve">D), with a majority of PhD candidates (n = 77, 26.6%) and senior scientists/PIs (n = 67, 25.7%).</w:t>
      </w:r>
    </w:p>
    <w:tbl>
      <w:tblPr>
        <w:tblStyle w:val="Table"/>
        <w:tblW w:type="pct" w:w="5000"/>
        <w:tblLayout w:type="fixed"/>
        <w:tblLook w:firstRow="0" w:lastRow="0" w:firstColumn="0" w:lastColumn="0" w:noHBand="0" w:noVBand="0" w:val="0000"/>
      </w:tblPr>
      <w:tblGrid>
        <w:gridCol w:w="7920"/>
      </w:tblGrid>
      <w:tr>
        <w:tc>
          <w:tcPr/>
          <w:bookmarkStart w:id="21" w:name="fig-demographics"/>
          <w:p>
            <w:pPr>
              <w:pStyle w:val="Compact"/>
              <w:jc w:val="center"/>
            </w:pPr>
            <w:r>
              <w:drawing>
                <wp:inline>
                  <wp:extent cx="5080000" cy="5080000"/>
                  <wp:effectExtent b="0" l="0" r="0" t="0"/>
                  <wp:docPr descr="" title="" id="19" name="Picture"/>
                  <a:graphic>
                    <a:graphicData uri="http://schemas.openxmlformats.org/drawingml/2006/picture">
                      <pic:pic>
                        <pic:nvPicPr>
                          <pic:cNvPr descr="manuscript_files/figure-docx/fig-demographics-1.png" id="20" name="Picture"/>
                          <pic:cNvPicPr>
                            <a:picLocks noChangeArrowheads="1" noChangeAspect="1"/>
                          </pic:cNvPicPr>
                        </pic:nvPicPr>
                        <pic:blipFill>
                          <a:blip r:embed="rId18"/>
                          <a:stretch>
                            <a:fillRect/>
                          </a:stretch>
                        </pic:blipFill>
                        <pic:spPr bwMode="auto">
                          <a:xfrm>
                            <a:off x="0" y="0"/>
                            <a:ext cx="5080000" cy="508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Respondent demographics. (A) Country of work. (B) Canton (if working in Switzerland). (C) Organisation type. (D) Career stage.</w:t>
            </w:r>
          </w:p>
          <w:bookmarkEnd w:id="21"/>
        </w:tc>
      </w:tr>
    </w:tbl>
    <w:p>
      <w:pPr>
        <w:pStyle w:val="BodyText"/>
      </w:pPr>
      <w:r>
        <w:t xml:space="preserve">For a wide range of pre-defined course topics, the respondents were asked to indicate their training needs on a 5-point Likert scale. The overall distribution of responses is shown in</w:t>
      </w:r>
      <w:r>
        <w:t xml:space="preserve"> </w:t>
      </w:r>
      <w:hyperlink w:anchor="fig-likert-preferences">
        <w:r>
          <w:rPr>
            <w:rStyle w:val="Hyperlink"/>
          </w:rPr>
          <w:t xml:space="preserve">Figure 3</w:t>
        </w:r>
      </w:hyperlink>
      <w:r>
        <w:t xml:space="preserve">, which indicates that the majority of respondents expressed a need for training in AI-related topics, FAIR data and computational methods, as well as in integrating imaging with omics data. In contrast, topics related to e.g. transposable elements analysis and 16S sequencing data analysis were generally considered as less needed.</w:t>
      </w:r>
    </w:p>
    <w:tbl>
      <w:tblPr>
        <w:tblStyle w:val="Table"/>
        <w:tblW w:type="pct" w:w="5000"/>
        <w:tblLayout w:type="fixed"/>
        <w:tblLook w:firstRow="0" w:lastRow="0" w:firstColumn="0" w:lastColumn="0" w:noHBand="0" w:noVBand="0" w:val="0000"/>
      </w:tblPr>
      <w:tblGrid>
        <w:gridCol w:w="7920"/>
      </w:tblGrid>
      <w:tr>
        <w:tc>
          <w:tcPr/>
          <w:bookmarkStart w:id="25" w:name="fig-likert-preferences"/>
          <w:p>
            <w:pPr>
              <w:pStyle w:val="Compact"/>
              <w:jc w:val="center"/>
            </w:pPr>
            <w:r>
              <w:drawing>
                <wp:inline>
                  <wp:extent cx="5080000" cy="15240000"/>
                  <wp:effectExtent b="0" l="0" r="0" t="0"/>
                  <wp:docPr descr="" title="" id="23" name="Picture"/>
                  <a:graphic>
                    <a:graphicData uri="http://schemas.openxmlformats.org/drawingml/2006/picture">
                      <pic:pic>
                        <pic:nvPicPr>
                          <pic:cNvPr descr="manuscript_files/figure-docx/fig-likert-preferences-1.png" id="24" name="Picture"/>
                          <pic:cNvPicPr>
                            <a:picLocks noChangeArrowheads="1" noChangeAspect="1"/>
                          </pic:cNvPicPr>
                        </pic:nvPicPr>
                        <pic:blipFill>
                          <a:blip r:embed="rId22"/>
                          <a:stretch>
                            <a:fillRect/>
                          </a:stretch>
                        </pic:blipFill>
                        <pic:spPr bwMode="auto">
                          <a:xfrm>
                            <a:off x="0" y="0"/>
                            <a:ext cx="5080000" cy="152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Overall responses of training needs, shown in percentages and ordered by need. The topics are ordered by the proportion of respondents who indicated that they needed the topic (i.e. answered</w:t>
            </w:r>
            <w:r>
              <w:t xml:space="preserve"> </w:t>
            </w:r>
            <w:r>
              <w:t xml:space="preserve">“Very needed”</w:t>
            </w:r>
            <w:r>
              <w:t xml:space="preserve"> </w:t>
            </w:r>
            <w:r>
              <w:t xml:space="preserve">or</w:t>
            </w:r>
            <w:r>
              <w:t xml:space="preserve"> </w:t>
            </w:r>
            <w:r>
              <w:t xml:space="preserve">“Absolutely essential”</w:t>
            </w:r>
            <w:r>
              <w:t xml:space="preserve">). Some topics have been abbreviated for clarity; the full topic names presented to the respondents can be found in the Supplementary Materials.</w:t>
            </w:r>
          </w:p>
          <w:bookmarkEnd w:id="25"/>
        </w:tc>
      </w:tr>
    </w:tbl>
    <w:p>
      <w:pPr>
        <w:pStyle w:val="BodyText"/>
      </w:pPr>
      <w:r>
        <w:t xml:space="preserve">Barriers to participate in SIB courses were also assessed using a 5-point Likert scale. The overall distribution of responses is shown in</w:t>
      </w:r>
      <w:r>
        <w:t xml:space="preserve"> </w:t>
      </w:r>
      <w:hyperlink w:anchor="fig-likert-barriers">
        <w:r>
          <w:rPr>
            <w:rStyle w:val="Hyperlink"/>
          </w:rPr>
          <w:t xml:space="preserve">Figure 4</w:t>
        </w:r>
      </w:hyperlink>
      <w:r>
        <w:t xml:space="preserve">, which indicates that the majority of respondents did not perceive any of the listed factors as a significant barrier to their participation in SIB courses. However, some respondents indicated that distance and course fees could be potential barriers.</w:t>
      </w:r>
    </w:p>
    <w:tbl>
      <w:tblPr>
        <w:tblStyle w:val="Table"/>
        <w:tblW w:type="pct" w:w="5000"/>
        <w:tblLayout w:type="fixed"/>
        <w:tblLook w:firstRow="0" w:lastRow="0" w:firstColumn="0" w:lastColumn="0" w:noHBand="0" w:noVBand="0" w:val="0000"/>
      </w:tblPr>
      <w:tblGrid>
        <w:gridCol w:w="7920"/>
      </w:tblGrid>
      <w:tr>
        <w:tc>
          <w:tcPr/>
          <w:bookmarkStart w:id="29" w:name="fig-likert-barriers"/>
          <w:p>
            <w:pPr>
              <w:pStyle w:val="Compact"/>
              <w:jc w:val="center"/>
            </w:pPr>
            <w:r>
              <w:drawing>
                <wp:inline>
                  <wp:extent cx="5080000" cy="7620000"/>
                  <wp:effectExtent b="0" l="0" r="0" t="0"/>
                  <wp:docPr descr="" title="" id="27" name="Picture"/>
                  <a:graphic>
                    <a:graphicData uri="http://schemas.openxmlformats.org/drawingml/2006/picture">
                      <pic:pic>
                        <pic:nvPicPr>
                          <pic:cNvPr descr="manuscript_files/figure-docx/fig-likert-barriers-1.png" id="28" name="Picture"/>
                          <pic:cNvPicPr>
                            <a:picLocks noChangeArrowheads="1" noChangeAspect="1"/>
                          </pic:cNvPicPr>
                        </pic:nvPicPr>
                        <pic:blipFill>
                          <a:blip r:embed="rId26"/>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Overall responses of the question</w:t>
            </w:r>
            <w:r>
              <w:t xml:space="preserve"> </w:t>
            </w:r>
            <w:r>
              <w:t xml:space="preserve">“Please indicate how much each of the following factors would be a barrier for your participation in a SIB training course.”</w:t>
            </w:r>
            <w:r>
              <w:t xml:space="preserve">. The barriers are ordered by the proportion of respondents who indicated that they were not a barrier.</w:t>
            </w:r>
          </w:p>
          <w:bookmarkEnd w:id="29"/>
        </w:tc>
      </w:tr>
    </w:tbl>
    <w:p>
      <w:pPr>
        <w:pStyle w:val="BodyText"/>
      </w:pPr>
      <w:r>
        <w:t xml:space="preserve">When asked about their preferred learning formats, respondents expressed a preference for blended modes (a combination of synchronous and asynchronous learning), multi-day intensive courses (2-5 days of live course activities) and interactive and problem-based learning approaches, such as bring your own data (participants utilize their own datasets to learn) and project-based learning (participants work in groups to investigate real-world problems). Remarkably, AI-assisted formats (integrates AI technologies into education to personalize learning) were generally less favored. The overall distribution of responses is shown in</w:t>
      </w:r>
      <w:r>
        <w:t xml:space="preserve"> </w:t>
      </w:r>
      <w:hyperlink w:anchor="fig-likert-forma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likert-formats"/>
          <w:p>
            <w:pPr>
              <w:pStyle w:val="Compact"/>
              <w:jc w:val="center"/>
            </w:pPr>
            <w:r>
              <w:drawing>
                <wp:inline>
                  <wp:extent cx="5080000" cy="7620000"/>
                  <wp:effectExtent b="0" l="0" r="0" t="0"/>
                  <wp:docPr descr="" title="" id="31" name="Picture"/>
                  <a:graphic>
                    <a:graphicData uri="http://schemas.openxmlformats.org/drawingml/2006/picture">
                      <pic:pic>
                        <pic:nvPicPr>
                          <pic:cNvPr descr="manuscript_files/figure-docx/fig-likert-formats-1.png" id="32" name="Picture"/>
                          <pic:cNvPicPr>
                            <a:picLocks noChangeArrowheads="1" noChangeAspect="1"/>
                          </pic:cNvPicPr>
                        </pic:nvPicPr>
                        <pic:blipFill>
                          <a:blip r:embed="rId30"/>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Overall responses of the question</w:t>
            </w:r>
            <w:r>
              <w:t xml:space="preserve"> </w:t>
            </w:r>
            <w:r>
              <w:t xml:space="preserve">“Specify which learning formats you prefer. Note: these are not mutually exclusive, i.e. some can be used in combination”</w:t>
            </w:r>
            <w:r>
              <w:t xml:space="preserve">. The formats are ordered by the proportion of respondents who indicated that they liked or strongly liked the format. The original answers included an explanation of the format. For the full answers, please refer to the Supplementary Materials.</w:t>
            </w:r>
          </w:p>
          <w:bookmarkEnd w:id="33"/>
        </w:tc>
      </w:tr>
    </w:tbl>
    <w:bookmarkEnd w:id="34"/>
    <w:bookmarkStart w:id="40" w:name="X6957e9cb6b8bd8f55f03b2c529aedb5e7e7fe52"/>
    <w:p>
      <w:pPr>
        <w:pStyle w:val="Heading3"/>
      </w:pPr>
      <w:r>
        <w:t xml:space="preserve">3.2 Graph-based clustering of course preference responses</w:t>
      </w:r>
    </w:p>
    <w:p>
      <w:pPr>
        <w:pStyle w:val="FirstParagraph"/>
      </w:pPr>
      <w:r>
        <w:t xml:space="preserve">To group respondents based on their training needs, we constructed a network where nodes represent respondents and edges represent the similarity of their training preferences. Initially, we identified five clusters (</w:t>
      </w:r>
      <w:hyperlink w:anchor="fig-course-cluster-network">
        <w:r>
          <w:rPr>
            <w:rStyle w:val="Hyperlink"/>
          </w:rPr>
          <w:t xml:space="preserve">Figure 6</w:t>
        </w:r>
      </w:hyperlink>
      <w:r>
        <w:t xml:space="preserve">), of which one cluster (Cluster 5) consisted of a single respondent who indicated</w:t>
      </w:r>
      <w:r>
        <w:t xml:space="preserve"> </w:t>
      </w:r>
      <w:r>
        <w:t xml:space="preserve">‘absolutely essential’</w:t>
      </w:r>
      <w:r>
        <w:t xml:space="preserve"> </w:t>
      </w:r>
      <w:r>
        <w:t xml:space="preserve">for all course topics, which was considered as an outlier and therefore removed from the analysis.</w:t>
      </w:r>
    </w:p>
    <w:tbl>
      <w:tblPr>
        <w:tblStyle w:val="Table"/>
        <w:tblW w:type="pct" w:w="5000"/>
        <w:tblLayout w:type="fixed"/>
        <w:tblLook w:firstRow="0" w:lastRow="0" w:firstColumn="0" w:lastColumn="0" w:noHBand="0" w:noVBand="0" w:val="0000"/>
      </w:tblPr>
      <w:tblGrid>
        <w:gridCol w:w="7920"/>
      </w:tblGrid>
      <w:tr>
        <w:tc>
          <w:tcPr/>
          <w:bookmarkStart w:id="38" w:name="fig-course-cluster-network"/>
          <w:p>
            <w:pPr>
              <w:pStyle w:val="Compact"/>
              <w:jc w:val="center"/>
            </w:pPr>
            <w:r>
              <w:drawing>
                <wp:inline>
                  <wp:extent cx="5080000" cy="6350000"/>
                  <wp:effectExtent b="0" l="0" r="0" t="0"/>
                  <wp:docPr descr="" title="" id="36" name="Picture"/>
                  <a:graphic>
                    <a:graphicData uri="http://schemas.openxmlformats.org/drawingml/2006/picture">
                      <pic:pic>
                        <pic:nvPicPr>
                          <pic:cNvPr descr="manuscript_files/figure-docx/fig-course-cluster-network-1.png" id="37" name="Picture"/>
                          <pic:cNvPicPr>
                            <a:picLocks noChangeArrowheads="1" noChangeAspect="1"/>
                          </pic:cNvPicPr>
                        </pic:nvPicPr>
                        <pic:blipFill>
                          <a:blip r:embed="rId35"/>
                          <a:stretch>
                            <a:fillRect/>
                          </a:stretch>
                        </pic:blipFill>
                        <pic:spPr bwMode="auto">
                          <a:xfrm>
                            <a:off x="0" y="0"/>
                            <a:ext cx="5080000" cy="635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Respondent network from course-topic preference correlations. Edge widths indicate stronger positive correlation; colors indicate Louvain communities. Cluster 5 is an outlier cluster with a single respondent and was removed from further analysis.</w:t>
            </w:r>
          </w:p>
          <w:bookmarkEnd w:id="38"/>
        </w:tc>
      </w:tr>
    </w:tbl>
    <w:p>
      <w:pPr>
        <w:pStyle w:val="BodyText"/>
      </w:pPr>
      <w:r>
        <w:t xml:space="preserve">The resulting clusters were similar in size and displayed varying levels of internal similarity of responses. To evaluate this, we calculated the edge density (the proportion of actual connections out of all possible links)for each cluster (</w:t>
      </w:r>
      <w:hyperlink w:anchor="tbl-cluster-interconnectedness">
        <w:r>
          <w:rPr>
            <w:rStyle w:val="Hyperlink"/>
          </w:rPr>
          <w:t xml:space="preserve">Table 1</w:t>
        </w:r>
      </w:hyperlink>
      <w:r>
        <w:t xml:space="preserve">), showing that Cluster 1 exhibits the highest edge density. Therefore, respondents within Cluster 1 have more similar training needs compared to the other clusters.</w:t>
      </w:r>
    </w:p>
    <w:tbl>
      <w:tblPr>
        <w:tblStyle w:val="Table"/>
        <w:tblW w:type="pct" w:w="5000"/>
        <w:tblLayout w:type="fixed"/>
        <w:tblLook w:firstRow="0" w:lastRow="0" w:firstColumn="0" w:lastColumn="0" w:noHBand="0" w:noVBand="0" w:val="0000"/>
      </w:tblPr>
      <w:tblGrid>
        <w:gridCol w:w="7920"/>
      </w:tblGrid>
      <w:tr>
        <w:tc>
          <w:tcPr/>
          <w:bookmarkStart w:id="39" w:name="tbl-cluster-interconnectedness"/>
          <w:p>
            <w:pPr>
              <w:jc w:val="center"/>
            </w:pPr>
            <w:pPr>
              <w:jc w:val="left"/>
              <w:spacing w:before="200"/>
              <w:pStyle w:val="ImageCaption"/>
            </w:pPr>
            <w:r>
              <w:t xml:space="preserve">Table 1: Within-cluster interconnectedness scores. Nodes: the number of nodes (= respondents) in the cluster; internal edges: number of edges within a cluster; possible edges: all possible edges given the number of nodes; edge density: internal edges/possible edges.</w:t>
            </w:r>
          </w:p>
          <w:tbl>
            <w:tblPr>
              <w:tblStyle w:val="Table"/>
              <w:tblW w:type="pct" w:w="5000"/>
              <w:tblLayout w:type="fixed"/>
              <w:tblLook w:firstRow="1" w:lastRow="0" w:firstColumn="0" w:lastColumn="0" w:noHBand="0" w:noVBand="0" w:val="0020"/>
            </w:tblPr>
            <w:tblGrid>
              <w:gridCol w:w="851"/>
              <w:gridCol w:w="2384"/>
              <w:gridCol w:w="1021"/>
              <w:gridCol w:w="1277"/>
              <w:gridCol w:w="1277"/>
              <w:gridCol w:w="1107"/>
            </w:tblGrid>
            <w:tr>
              <w:trPr>
                <w:tblHeader w:val="on"/>
              </w:trPr>
              <w:tc>
                <w:tcPr/>
                <w:p>
                  <w:pPr>
                    <w:pStyle w:val="Compact"/>
                    <w:jc w:val="left"/>
                    <w:jc w:val="center"/>
                  </w:pPr>
                  <w:r>
                    <w:t xml:space="preserve">cluster</w:t>
                  </w:r>
                </w:p>
              </w:tc>
              <w:tc>
                <w:tcPr/>
                <w:p>
                  <w:pPr>
                    <w:pStyle w:val="Compact"/>
                    <w:jc w:val="left"/>
                    <w:jc w:val="center"/>
                  </w:pPr>
                  <w:r>
                    <w:t xml:space="preserve">profile</w:t>
                  </w:r>
                </w:p>
              </w:tc>
              <w:tc>
                <w:tcPr/>
                <w:p>
                  <w:pPr>
                    <w:pStyle w:val="Compact"/>
                    <w:jc w:val="right"/>
                    <w:jc w:val="center"/>
                  </w:pPr>
                  <w:r>
                    <w:t xml:space="preserve">respondents</w:t>
                  </w:r>
                </w:p>
              </w:tc>
              <w:tc>
                <w:tcPr/>
                <w:p>
                  <w:pPr>
                    <w:pStyle w:val="Compact"/>
                    <w:jc w:val="right"/>
                    <w:jc w:val="center"/>
                  </w:pPr>
                  <w:r>
                    <w:t xml:space="preserve">internal edges</w:t>
                  </w:r>
                </w:p>
              </w:tc>
              <w:tc>
                <w:tcPr/>
                <w:p>
                  <w:pPr>
                    <w:pStyle w:val="Compact"/>
                    <w:jc w:val="right"/>
                    <w:jc w:val="center"/>
                  </w:pPr>
                  <w:r>
                    <w:t xml:space="preserve">possible edges</w:t>
                  </w:r>
                </w:p>
              </w:tc>
              <w:tc>
                <w:tcPr/>
                <w:p>
                  <w:pPr>
                    <w:pStyle w:val="Compact"/>
                    <w:jc w:val="right"/>
                    <w:jc w:val="center"/>
                  </w:pPr>
                  <w:r>
                    <w:t xml:space="preserve">edge density</w:t>
                  </w:r>
                </w:p>
              </w:tc>
            </w:tr>
            <w:tr>
              <w:tc>
                <w:tcPr/>
                <w:p>
                  <w:pPr>
                    <w:pStyle w:val="Compact"/>
                    <w:jc w:val="left"/>
                    <w:jc w:val="center"/>
                  </w:pPr>
                  <w:r>
                    <w:t xml:space="preserve">Cluster 1</w:t>
                  </w:r>
                </w:p>
              </w:tc>
              <w:tc>
                <w:tcPr/>
                <w:p>
                  <w:pPr>
                    <w:pStyle w:val="Compact"/>
                    <w:jc w:val="left"/>
                    <w:jc w:val="center"/>
                  </w:pPr>
                  <w:r>
                    <w:t xml:space="preserve">AI and Data</w:t>
                  </w:r>
                </w:p>
              </w:tc>
              <w:tc>
                <w:tcPr/>
                <w:p>
                  <w:pPr>
                    <w:pStyle w:val="Compact"/>
                    <w:jc w:val="right"/>
                    <w:jc w:val="center"/>
                  </w:pPr>
                  <w:r>
                    <w:t xml:space="preserve">69</w:t>
                  </w:r>
                </w:p>
              </w:tc>
              <w:tc>
                <w:tcPr/>
                <w:p>
                  <w:pPr>
                    <w:pStyle w:val="Compact"/>
                    <w:jc w:val="right"/>
                    <w:jc w:val="center"/>
                  </w:pPr>
                  <w:r>
                    <w:t xml:space="preserve">1755</w:t>
                  </w:r>
                </w:p>
              </w:tc>
              <w:tc>
                <w:tcPr/>
                <w:p>
                  <w:pPr>
                    <w:pStyle w:val="Compact"/>
                    <w:jc w:val="right"/>
                    <w:jc w:val="center"/>
                  </w:pPr>
                  <w:r>
                    <w:t xml:space="preserve">2346</w:t>
                  </w:r>
                </w:p>
              </w:tc>
              <w:tc>
                <w:tcPr/>
                <w:p>
                  <w:pPr>
                    <w:pStyle w:val="Compact"/>
                    <w:jc w:val="right"/>
                    <w:jc w:val="center"/>
                  </w:pPr>
                  <w:r>
                    <w:t xml:space="preserve">0.748</w:t>
                  </w:r>
                </w:p>
              </w:tc>
            </w:tr>
            <w:tr>
              <w:tc>
                <w:tcPr/>
                <w:p>
                  <w:pPr>
                    <w:pStyle w:val="Compact"/>
                    <w:jc w:val="left"/>
                    <w:jc w:val="center"/>
                  </w:pPr>
                  <w:r>
                    <w:t xml:space="preserve">Cluster 2</w:t>
                  </w:r>
                </w:p>
              </w:tc>
              <w:tc>
                <w:tcPr/>
                <w:p>
                  <w:pPr>
                    <w:pStyle w:val="Compact"/>
                    <w:jc w:val="left"/>
                    <w:jc w:val="center"/>
                  </w:pPr>
                  <w:r>
                    <w:t xml:space="preserve">Infectious Disease Genomics</w:t>
                  </w:r>
                </w:p>
              </w:tc>
              <w:tc>
                <w:tcPr/>
                <w:p>
                  <w:pPr>
                    <w:pStyle w:val="Compact"/>
                    <w:jc w:val="right"/>
                    <w:jc w:val="center"/>
                  </w:pPr>
                  <w:r>
                    <w:t xml:space="preserve">50</w:t>
                  </w:r>
                </w:p>
              </w:tc>
              <w:tc>
                <w:tcPr/>
                <w:p>
                  <w:pPr>
                    <w:pStyle w:val="Compact"/>
                    <w:jc w:val="right"/>
                    <w:jc w:val="center"/>
                  </w:pPr>
                  <w:r>
                    <w:t xml:space="preserve">360</w:t>
                  </w:r>
                </w:p>
              </w:tc>
              <w:tc>
                <w:tcPr/>
                <w:p>
                  <w:pPr>
                    <w:pStyle w:val="Compact"/>
                    <w:jc w:val="right"/>
                    <w:jc w:val="center"/>
                  </w:pPr>
                  <w:r>
                    <w:t xml:space="preserve">1225</w:t>
                  </w:r>
                </w:p>
              </w:tc>
              <w:tc>
                <w:tcPr/>
                <w:p>
                  <w:pPr>
                    <w:pStyle w:val="Compact"/>
                    <w:jc w:val="right"/>
                    <w:jc w:val="center"/>
                  </w:pPr>
                  <w:r>
                    <w:t xml:space="preserve">0.294</w:t>
                  </w:r>
                </w:p>
              </w:tc>
            </w:tr>
            <w:tr>
              <w:tc>
                <w:tcPr/>
                <w:p>
                  <w:pPr>
                    <w:pStyle w:val="Compact"/>
                    <w:jc w:val="left"/>
                    <w:jc w:val="center"/>
                  </w:pPr>
                  <w:r>
                    <w:t xml:space="preserve">Cluster 3</w:t>
                  </w:r>
                </w:p>
              </w:tc>
              <w:tc>
                <w:tcPr/>
                <w:p>
                  <w:pPr>
                    <w:pStyle w:val="Compact"/>
                    <w:jc w:val="left"/>
                    <w:jc w:val="center"/>
                  </w:pPr>
                  <w:r>
                    <w:t xml:space="preserve">Functional Genomics</w:t>
                  </w:r>
                </w:p>
              </w:tc>
              <w:tc>
                <w:tcPr/>
                <w:p>
                  <w:pPr>
                    <w:pStyle w:val="Compact"/>
                    <w:jc w:val="right"/>
                    <w:jc w:val="center"/>
                  </w:pPr>
                  <w:r>
                    <w:t xml:space="preserve">65</w:t>
                  </w:r>
                </w:p>
              </w:tc>
              <w:tc>
                <w:tcPr/>
                <w:p>
                  <w:pPr>
                    <w:pStyle w:val="Compact"/>
                    <w:jc w:val="right"/>
                    <w:jc w:val="center"/>
                  </w:pPr>
                  <w:r>
                    <w:t xml:space="preserve">662</w:t>
                  </w:r>
                </w:p>
              </w:tc>
              <w:tc>
                <w:tcPr/>
                <w:p>
                  <w:pPr>
                    <w:pStyle w:val="Compact"/>
                    <w:jc w:val="right"/>
                    <w:jc w:val="center"/>
                  </w:pPr>
                  <w:r>
                    <w:t xml:space="preserve">2080</w:t>
                  </w:r>
                </w:p>
              </w:tc>
              <w:tc>
                <w:tcPr/>
                <w:p>
                  <w:pPr>
                    <w:pStyle w:val="Compact"/>
                    <w:jc w:val="right"/>
                    <w:jc w:val="center"/>
                  </w:pPr>
                  <w:r>
                    <w:t xml:space="preserve">0.318</w:t>
                  </w:r>
                </w:p>
              </w:tc>
            </w:tr>
            <w:tr>
              <w:tc>
                <w:tcPr/>
                <w:p>
                  <w:pPr>
                    <w:pStyle w:val="Compact"/>
                    <w:jc w:val="left"/>
                    <w:jc w:val="center"/>
                  </w:pPr>
                  <w:r>
                    <w:t xml:space="preserve">Cluster 4</w:t>
                  </w:r>
                </w:p>
              </w:tc>
              <w:tc>
                <w:tcPr/>
                <w:p>
                  <w:pPr>
                    <w:pStyle w:val="Compact"/>
                    <w:jc w:val="left"/>
                    <w:jc w:val="center"/>
                  </w:pPr>
                  <w:r>
                    <w:t xml:space="preserve">Biochemistry, Imaging &amp; AI</w:t>
                  </w:r>
                </w:p>
              </w:tc>
              <w:tc>
                <w:tcPr/>
                <w:p>
                  <w:pPr>
                    <w:pStyle w:val="Compact"/>
                    <w:jc w:val="right"/>
                    <w:jc w:val="center"/>
                  </w:pPr>
                  <w:r>
                    <w:t xml:space="preserve">73</w:t>
                  </w:r>
                </w:p>
              </w:tc>
              <w:tc>
                <w:tcPr/>
                <w:p>
                  <w:pPr>
                    <w:pStyle w:val="Compact"/>
                    <w:jc w:val="right"/>
                    <w:jc w:val="center"/>
                  </w:pPr>
                  <w:r>
                    <w:t xml:space="preserve">853</w:t>
                  </w:r>
                </w:p>
              </w:tc>
              <w:tc>
                <w:tcPr/>
                <w:p>
                  <w:pPr>
                    <w:pStyle w:val="Compact"/>
                    <w:jc w:val="right"/>
                    <w:jc w:val="center"/>
                  </w:pPr>
                  <w:r>
                    <w:t xml:space="preserve">2628</w:t>
                  </w:r>
                </w:p>
              </w:tc>
              <w:tc>
                <w:tcPr/>
                <w:p>
                  <w:pPr>
                    <w:pStyle w:val="Compact"/>
                    <w:jc w:val="right"/>
                    <w:jc w:val="center"/>
                  </w:pPr>
                  <w:r>
                    <w:t xml:space="preserve">0.325</w:t>
                  </w:r>
                </w:p>
              </w:tc>
            </w:tr>
          </w:tbl>
          <w:bookmarkEnd w:id="39"/>
          <w:p/>
        </w:tc>
      </w:tr>
    </w:tbl>
    <w:bookmarkEnd w:id="40"/>
    <w:bookmarkStart w:id="49" w:name="learner-profiles"/>
    <w:p>
      <w:pPr>
        <w:pStyle w:val="Heading3"/>
      </w:pPr>
      <w:r>
        <w:t xml:space="preserve">3.3 Learner profiles</w:t>
      </w:r>
    </w:p>
    <w:p>
      <w:pPr>
        <w:pStyle w:val="FirstParagraph"/>
      </w:pPr>
      <w:r>
        <w:t xml:space="preserve">Throughout this section, we refer to a</w:t>
      </w:r>
      <w:r>
        <w:t xml:space="preserve"> </w:t>
      </w:r>
      <w:r>
        <w:rPr>
          <w:i/>
          <w:iCs/>
        </w:rPr>
        <w:t xml:space="preserve">cluster</w:t>
      </w:r>
      <w:r>
        <w:t xml:space="preserve"> </w:t>
      </w:r>
      <w:r>
        <w:t xml:space="preserve">as the group of respondents identified via community detection, and to a</w:t>
      </w:r>
      <w:r>
        <w:t xml:space="preserve"> </w:t>
      </w:r>
      <w:r>
        <w:rPr>
          <w:i/>
          <w:iCs/>
        </w:rPr>
        <w:t xml:space="preserve">learner profile</w:t>
      </w:r>
      <w:r>
        <w:t xml:space="preserve"> </w:t>
      </w:r>
      <w:r>
        <w:t xml:space="preserve">as the qualitative characterization of a cluster’s shared training needs, barriers, format preferences and demographics. The four resulting clusters were characterized by distinct training needs, shown by their top 10 of most liked topics (</w:t>
      </w:r>
      <w:hyperlink w:anchor="fig-topics-by-cluster">
        <w:r>
          <w:rPr>
            <w:rStyle w:val="Hyperlink"/>
          </w:rPr>
          <w:t xml:space="preserve">Figure 7</w:t>
        </w:r>
      </w:hyperlink>
      <w:r>
        <w:t xml:space="preserve">). This clearly shows that responses within each cluster have distinct preferences that are not visible when analyzing the entire respondent pool (</w:t>
      </w:r>
      <w:hyperlink w:anchor="fig-likert-preferences">
        <w:r>
          <w:rPr>
            <w:rStyle w:val="Hyperlink"/>
          </w:rPr>
          <w:t xml:space="preserve">Figure 3</w:t>
        </w:r>
      </w:hyperlink>
      <w:r>
        <w:t xml:space="preserve">). Based on these distinct needs, we defined four learner profiles: Cluster 1 (</w:t>
      </w:r>
      <w:hyperlink w:anchor="fig-topics-by-cluster">
        <w:r>
          <w:rPr>
            <w:rStyle w:val="Hyperlink"/>
          </w:rPr>
          <w:t xml:space="preserve">Figure 7</w:t>
        </w:r>
      </w:hyperlink>
      <w:r>
        <w:t xml:space="preserve"> </w:t>
      </w:r>
      <w:r>
        <w:t xml:space="preserve">A) is characterized by an interest in best practices in AI and data, including application of LLMs and reproducible and FAIR data, and is hereafter referred to as the</w:t>
      </w:r>
      <w:r>
        <w:t xml:space="preserve"> </w:t>
      </w:r>
      <w:r>
        <w:t xml:space="preserve">‘AI and data’</w:t>
      </w:r>
      <w:r>
        <w:t xml:space="preserve"> </w:t>
      </w:r>
      <w:r>
        <w:t xml:space="preserve">profile. Cluster 2 (</w:t>
      </w:r>
      <w:hyperlink w:anchor="fig-topics-by-cluster">
        <w:r>
          <w:rPr>
            <w:rStyle w:val="Hyperlink"/>
          </w:rPr>
          <w:t xml:space="preserve">Figure 7</w:t>
        </w:r>
      </w:hyperlink>
      <w:r>
        <w:t xml:space="preserve"> </w:t>
      </w:r>
      <w:r>
        <w:t xml:space="preserve">B) is characterized by infectious disease topics and possibly ecology, with an interest in phylogenetics, pathogen genomics and epidemiology, and is referred to as the</w:t>
      </w:r>
      <w:r>
        <w:t xml:space="preserve"> </w:t>
      </w:r>
      <w:r>
        <w:t xml:space="preserve">‘Infectious disease genomics’</w:t>
      </w:r>
      <w:r>
        <w:t xml:space="preserve"> </w:t>
      </w:r>
      <w:r>
        <w:t xml:space="preserve">profile. Cluster 3 (</w:t>
      </w:r>
      <w:hyperlink w:anchor="fig-topics-by-cluster">
        <w:r>
          <w:rPr>
            <w:rStyle w:val="Hyperlink"/>
          </w:rPr>
          <w:t xml:space="preserve">Figure 7</w:t>
        </w:r>
      </w:hyperlink>
      <w:r>
        <w:t xml:space="preserve"> </w:t>
      </w:r>
      <w:r>
        <w:t xml:space="preserve">C) is characterized by an interest in functional genomics topics, with an interest in transcriptomics and epigenetics, and is referred to as the</w:t>
      </w:r>
      <w:r>
        <w:t xml:space="preserve"> </w:t>
      </w:r>
      <w:r>
        <w:t xml:space="preserve">‘Functional genomics’</w:t>
      </w:r>
      <w:r>
        <w:t xml:space="preserve"> </w:t>
      </w:r>
      <w:r>
        <w:t xml:space="preserve">profile. Cluster 4 (</w:t>
      </w:r>
      <w:hyperlink w:anchor="fig-topics-by-cluster">
        <w:r>
          <w:rPr>
            <w:rStyle w:val="Hyperlink"/>
          </w:rPr>
          <w:t xml:space="preserve">Figure 7</w:t>
        </w:r>
      </w:hyperlink>
      <w:r>
        <w:t xml:space="preserve"> </w:t>
      </w:r>
      <w:r>
        <w:t xml:space="preserve">D) is characterized by training needs on AI, biochemistry and imaging, with an interest in proteomics, mass spectrometry and imaging and omics data integration, and is referred to as the</w:t>
      </w:r>
      <w:r>
        <w:t xml:space="preserve"> </w:t>
      </w:r>
      <w:r>
        <w:t xml:space="preserve">‘Biochemistry, imaging &amp; AI’</w:t>
      </w:r>
      <w:r>
        <w:t xml:space="preserve"> </w:t>
      </w:r>
      <w:r>
        <w:t xml:space="preserve">profile. All clusters have topics related to AI in their top 10, indicating that AI is a cross-cutting theme across all learner profiles.</w:t>
      </w:r>
    </w:p>
    <w:tbl>
      <w:tblPr>
        <w:tblStyle w:val="Table"/>
        <w:tblW w:type="pct" w:w="5000"/>
        <w:tblLayout w:type="fixed"/>
        <w:tblLook w:firstRow="0" w:lastRow="0" w:firstColumn="0" w:lastColumn="0" w:noHBand="0" w:noVBand="0" w:val="0000"/>
      </w:tblPr>
      <w:tblGrid>
        <w:gridCol w:w="7920"/>
      </w:tblGrid>
      <w:tr>
        <w:tc>
          <w:tcPr/>
          <w:bookmarkStart w:id="44" w:name="fig-topics-by-cluster"/>
          <w:p>
            <w:pPr>
              <w:pStyle w:val="Compact"/>
              <w:jc w:val="center"/>
            </w:pPr>
            <w:r>
              <w:drawing>
                <wp:inline>
                  <wp:extent cx="5080000" cy="25400000"/>
                  <wp:effectExtent b="0" l="0" r="0" t="0"/>
                  <wp:docPr descr="" title="" id="42" name="Picture"/>
                  <a:graphic>
                    <a:graphicData uri="http://schemas.openxmlformats.org/drawingml/2006/picture">
                      <pic:pic>
                        <pic:nvPicPr>
                          <pic:cNvPr descr="manuscript_files/figure-docx/fig-topics-by-cluster-1.png" id="43" name="Picture"/>
                          <pic:cNvPicPr>
                            <a:picLocks noChangeArrowheads="1" noChangeAspect="1"/>
                          </pic:cNvPicPr>
                        </pic:nvPicPr>
                        <pic:blipFill>
                          <a:blip r:embed="rId41"/>
                          <a:stretch>
                            <a:fillRect/>
                          </a:stretch>
                        </pic:blipFill>
                        <pic:spPr bwMode="auto">
                          <a:xfrm>
                            <a:off x="0" y="0"/>
                            <a:ext cx="5080000" cy="2540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top 10 most liked topics are shown for each cluster, indicating that each cluster has distinct training needs. Only the answers</w:t>
            </w:r>
            <w:r>
              <w:t xml:space="preserve"> </w:t>
            </w:r>
            <w:r>
              <w:t xml:space="preserve">“Very needed”</w:t>
            </w:r>
            <w:r>
              <w:t xml:space="preserve"> </w:t>
            </w:r>
            <w:r>
              <w:t xml:space="preserve">(light green) and</w:t>
            </w:r>
            <w:r>
              <w:t xml:space="preserve"> </w:t>
            </w:r>
            <w:r>
              <w:t xml:space="preserve">“Absolutely essential”</w:t>
            </w:r>
            <w:r>
              <w:t xml:space="preserve"> </w:t>
            </w:r>
            <w:r>
              <w:t xml:space="preserve">(dark green) are shown. The numbers in the bars represent the count of respondents within the respective cluster selecting the answer. (A) Cluster 1: AI and data. (B) Cluster 2: Infectious disease genomics. (C) Cluster 3: Functional genomics. (D) Cluster 4: Biochemistry, imaging &amp; AI. Some topics have been abbreviated for clarity; the full topic names presented to the respondents can be found in the Supplementary Materials.</w:t>
            </w:r>
          </w:p>
          <w:bookmarkEnd w:id="44"/>
        </w:tc>
      </w:tr>
    </w:tbl>
    <w:p>
      <w:pPr>
        <w:pStyle w:val="BodyText"/>
      </w:pPr>
      <w:r>
        <w:t xml:space="preserve">These learner profiles can be further characterized based on demographic characteristics (</w:t>
      </w:r>
      <w:hyperlink w:anchor="fig-cluster-pie-career">
        <w:r>
          <w:rPr>
            <w:rStyle w:val="Hyperlink"/>
          </w:rPr>
          <w:t xml:space="preserve">Figure 8</w:t>
        </w:r>
      </w:hyperlink>
      <w:r>
        <w:t xml:space="preserve">; Supplementary Figure X), structural barriers to participation (Supplementary Figure X), and preferred learning formats (Supplementary Figure X). Such analyses can help training providers design targeted curricula that address the specific needs of each profile. For example, the</w:t>
      </w:r>
      <w:r>
        <w:t xml:space="preserve"> </w:t>
      </w:r>
      <w:r>
        <w:t xml:space="preserve">‘AI and data’</w:t>
      </w:r>
      <w:r>
        <w:t xml:space="preserve"> </w:t>
      </w:r>
      <w:r>
        <w:t xml:space="preserve">profile (Cluster 1) has a higher proportion of early-career scientists (PhD candidates and postdoctoral researchers;</w:t>
      </w:r>
      <w:r>
        <w:t xml:space="preserve"> </w:t>
      </w:r>
      <w:hyperlink w:anchor="fig-cluster-pie-career">
        <w:r>
          <w:rPr>
            <w:rStyle w:val="Hyperlink"/>
          </w:rPr>
          <w:t xml:space="preserve">Figure 8</w:t>
        </w:r>
      </w:hyperlink>
      <w:r>
        <w:t xml:space="preserve">) and a higher proportion of respondents from academia (Supplementary Figure X), while the</w:t>
      </w:r>
      <w:r>
        <w:t xml:space="preserve"> </w:t>
      </w:r>
      <w:r>
        <w:t xml:space="preserve">‘Biochemistry, imaging &amp; AI’</w:t>
      </w:r>
      <w:r>
        <w:t xml:space="preserve"> </w:t>
      </w:r>
      <w:r>
        <w:t xml:space="preserve">profile (Cluster 4) has a higher proportion of senior scientists and respondents from industry. These differences in demographics can inform the design of training programs that are tailored to the specific needs and preferences of each learner profile.</w:t>
      </w:r>
    </w:p>
    <w:tbl>
      <w:tblPr>
        <w:tblStyle w:val="Table"/>
        <w:tblW w:type="pct" w:w="5000"/>
        <w:tblLayout w:type="fixed"/>
        <w:tblLook w:firstRow="0" w:lastRow="0" w:firstColumn="0" w:lastColumn="0" w:noHBand="0" w:noVBand="0" w:val="0000"/>
      </w:tblPr>
      <w:tblGrid>
        <w:gridCol w:w="7920"/>
      </w:tblGrid>
      <w:tr>
        <w:tc>
          <w:tcPr/>
          <w:bookmarkStart w:id="48" w:name="fig-cluster-pie-career"/>
          <w:p>
            <w:pPr>
              <w:pStyle w:val="Compact"/>
              <w:jc w:val="center"/>
            </w:pPr>
            <w:r>
              <w:drawing>
                <wp:inline>
                  <wp:extent cx="5080000" cy="7620000"/>
                  <wp:effectExtent b="0" l="0" r="0" t="0"/>
                  <wp:docPr descr="" title="" id="46" name="Picture"/>
                  <a:graphic>
                    <a:graphicData uri="http://schemas.openxmlformats.org/drawingml/2006/picture">
                      <pic:pic>
                        <pic:nvPicPr>
                          <pic:cNvPr descr="manuscript_files/figure-docx/fig-cluster-pie-career-1.png" id="47" name="Picture"/>
                          <pic:cNvPicPr>
                            <a:picLocks noChangeArrowheads="1" noChangeAspect="1"/>
                          </pic:cNvPicPr>
                        </pic:nvPicPr>
                        <pic:blipFill>
                          <a:blip r:embed="rId45"/>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Career stage composition per cluster.</w:t>
            </w:r>
          </w:p>
          <w:bookmarkEnd w:id="48"/>
        </w:tc>
      </w:tr>
    </w:tbl>
    <w:bookmarkEnd w:id="49"/>
    <w:bookmarkEnd w:id="50"/>
    <w:bookmarkStart w:id="56" w:name="discussion"/>
    <w:p>
      <w:pPr>
        <w:pStyle w:val="Heading2"/>
      </w:pPr>
      <w:r>
        <w:t xml:space="preserve">4 Discussion</w:t>
      </w:r>
    </w:p>
    <w:p>
      <w:pPr>
        <w:pStyle w:val="FirstParagraph"/>
      </w:pPr>
      <w:r>
        <w:t xml:space="preserve">The results of the SIB training survey provide a snapshot of the bioinformatics training needs of scientists in spring 2026, a period in which generative AI and large language models (LLMs) became increasingly relevant. The survey design and analysis framework is unique within the context of bioinformatics education, and provides a comprehensive approach to understanding training needs, participation barriers, and preferred learning formats. Here, we discuss the overall survey outcomes that can be used for curriculum design on the short term, and the advantages of the analysis approach that can serve as a blueprint for future surveys on training needs.</w:t>
      </w:r>
    </w:p>
    <w:bookmarkStart w:id="54" w:name="overall-survey-outcomes"/>
    <w:p>
      <w:pPr>
        <w:pStyle w:val="Heading3"/>
      </w:pPr>
      <w:r>
        <w:t xml:space="preserve">4.1 Overall survey outcomes</w:t>
      </w:r>
    </w:p>
    <w:p>
      <w:pPr>
        <w:pStyle w:val="FirstParagraph"/>
      </w:pPr>
      <w:r>
        <w:t xml:space="preserve">The majority of respondents were working in Switzerland as an academic researcher, likely because the survey was primarily advertised through the SIB training mailing list and other academic channels and networks within Switzerland. This outcome aligns well with the aims of the survey, as SIB training is primarily intended for academic researchers working in Switzerland. Nevertheless, we think that the survey results can be used for similar training curricula in other countries. Here, we discuss the overall survey outcomes along the three dimensions of training needs, participation barriers and learning formats.</w:t>
      </w:r>
    </w:p>
    <w:bookmarkStart w:id="51" w:name="Xbd19bfc40f747e39b38feba064da9cf9f06c1ca"/>
    <w:p>
      <w:pPr>
        <w:pStyle w:val="Heading4"/>
      </w:pPr>
      <w:r>
        <w:t xml:space="preserve">4.1.1 A clear need for skills in AI and reproducible research</w:t>
      </w:r>
    </w:p>
    <w:p>
      <w:pPr>
        <w:pStyle w:val="FirstParagraph"/>
      </w:pPr>
      <w:r>
        <w:t xml:space="preserve">From the complete pool of survey results, it becomes clear that there is a demand for training on using (generative) AI and LLMs. Four of the possible topics related to AI/LLM skills and all four of them were in the top six of most needed topics. The two courses that were indicated as most needed were on how to use AI effectively:</w:t>
      </w:r>
      <w:r>
        <w:t xml:space="preserve"> </w:t>
      </w:r>
      <w:r>
        <w:t xml:space="preserve">“AI-assisted coding and analysis”</w:t>
      </w:r>
      <w:r>
        <w:t xml:space="preserve">, and</w:t>
      </w:r>
      <w:r>
        <w:t xml:space="preserve"> </w:t>
      </w:r>
      <w:r>
        <w:t xml:space="preserve">“Using large language models (LLM) for biomedical knowledge extraction”</w:t>
      </w:r>
      <w:r>
        <w:t xml:space="preserve">. A little bit less needed was the topic</w:t>
      </w:r>
      <w:r>
        <w:t xml:space="preserve"> </w:t>
      </w:r>
      <w:r>
        <w:t xml:space="preserve">“Advanced AI techniques (agentic AI, MCP and RAGs)”</w:t>
      </w:r>
      <w:r>
        <w:t xml:space="preserve">, which is more related to developing AI tools. This shows that most respondents are aware of the potential of the use AI and LLMs in their daily work in bioinformatics, but there is a need for training on it. This perceived skill gap in AI and LLMs is a known barrier for the adoption and responsible use of AI in general</w:t>
      </w:r>
      <w:r>
        <w:t xml:space="preserve"> </w:t>
      </w:r>
      <w:r>
        <w:t xml:space="preserve">(Sidhu et al. 2024; Wen Bin Goh et al. 2026)</w:t>
      </w:r>
      <w:r>
        <w:t xml:space="preserve">, and it is reassuring to see that the respondents are aware of this gap and are interested in learning more about it, particularly in the</w:t>
      </w:r>
      <w:r>
        <w:t xml:space="preserve"> </w:t>
      </w:r>
      <w:r>
        <w:t xml:space="preserve">‘AI and data’</w:t>
      </w:r>
      <w:r>
        <w:t xml:space="preserve"> </w:t>
      </w:r>
      <w:r>
        <w:t xml:space="preserve">profile (Cluster 1).</w:t>
      </w:r>
    </w:p>
    <w:p>
      <w:pPr>
        <w:pStyle w:val="BodyText"/>
      </w:pPr>
      <w:r>
        <w:t xml:space="preserve">The survey also revealed that there is a demand for training on FAIR data management and reproducible research, with</w:t>
      </w:r>
      <w:r>
        <w:t xml:space="preserve"> </w:t>
      </w:r>
      <w:r>
        <w:t xml:space="preserve">“Making bioinformatics workflows findable and citable”</w:t>
      </w:r>
      <w:r>
        <w:t xml:space="preserve"> </w:t>
      </w:r>
      <w:r>
        <w:t xml:space="preserve">and</w:t>
      </w:r>
      <w:r>
        <w:t xml:space="preserve"> </w:t>
      </w:r>
      <w:r>
        <w:t xml:space="preserve">“Sharing and reusing life science data”</w:t>
      </w:r>
      <w:r>
        <w:t xml:space="preserve"> </w:t>
      </w:r>
      <w:r>
        <w:t xml:space="preserve">as 3rd and 4th most needed respectively. This shows awareness of a need for learning about open and reproducible research practices amongst most respondents, which corresponds with earlier findings regarding perceptions on FAIR data practices</w:t>
      </w:r>
      <w:r>
        <w:t xml:space="preserve"> </w:t>
      </w:r>
      <w:r>
        <w:t xml:space="preserve">(Kersloot et al. 2022)</w:t>
      </w:r>
      <w:r>
        <w:t xml:space="preserve">, and its challenges</w:t>
      </w:r>
      <w:r>
        <w:t xml:space="preserve"> </w:t>
      </w:r>
      <w:r>
        <w:t xml:space="preserve">(Martínez-García et al. 2023)</w:t>
      </w:r>
      <w:r>
        <w:t xml:space="preserve">.</w:t>
      </w:r>
    </w:p>
    <w:p>
      <w:pPr>
        <w:pStyle w:val="BodyText"/>
      </w:pPr>
      <w:r>
        <w:t xml:space="preserve">While applying such outcomes to actual curriculum design, it is important to note that there can be a gap between intention - indicating a desire or need for training - and action - actually participating in a training course on the topic, known as the intention-behavior gap</w:t>
      </w:r>
      <w:r>
        <w:t xml:space="preserve"> </w:t>
      </w:r>
      <w:r>
        <w:t xml:space="preserve">(Sheeran and Webb 2016)</w:t>
      </w:r>
      <w:r>
        <w:t xml:space="preserve">. Although the questions on training needs were phrased in a way that the answer should relate to the respondents’ own training needs (</w:t>
      </w:r>
      <w:r>
        <w:t xml:space="preserve">“.. specify your training needs ..”</w:t>
      </w:r>
      <w:r>
        <w:t xml:space="preserve">), some answers might represent what the respondents think their communities or colleagues need. This is also reflected in the relatively high proportion of senior scientists and PIs in the survey (25.7%), who might be more likely to answer on behalf of their group or lab rather than their own personal training needs. Therefore, the translation of these answers from intention to action, i.e. actually participating in a training course on the topic, might not be straightforward.</w:t>
      </w:r>
    </w:p>
    <w:bookmarkEnd w:id="51"/>
    <w:bookmarkStart w:id="52" w:name="participation-barriers"/>
    <w:p>
      <w:pPr>
        <w:pStyle w:val="Heading4"/>
      </w:pPr>
      <w:r>
        <w:t xml:space="preserve">4.1.2 Participation barriers</w:t>
      </w:r>
    </w:p>
    <w:p>
      <w:pPr>
        <w:pStyle w:val="FirstParagraph"/>
      </w:pPr>
      <w:r>
        <w:t xml:space="preserve">For most barriers, we saw that the majority of respondents did not perceive them as a barrier or as small barrier to their participation in SIB courses. Overall, the largest barriers were distance and course fees, which were a large or critical barrier for respectively 33% and 25% of the respondents. Currently, approximately 50% of the SIB courses is provided in-person, and most other courses in-person take place in Lausanne, Geneva, Basel, Bern and Zurich. The other courses are online, and logistical barriers should not be significant, given that barriers related to time-zone differences were perceived as minimal. To reduce the distance barrier for Swiss participants, there could be more incentive to organise the same course in different cities and possibly provide more online options. However, seeking a balance between in-person and online courses remains important, since online education can reduce student statisfaction</w:t>
      </w:r>
      <w:r>
        <w:t xml:space="preserve"> </w:t>
      </w:r>
      <w:r>
        <w:t xml:space="preserve">(Ebner and Gegenfurtner 2019)</w:t>
      </w:r>
      <w:r>
        <w:t xml:space="preserve"> </w:t>
      </w:r>
      <w:r>
        <w:t xml:space="preserve">and learning effectiveness</w:t>
      </w:r>
      <w:r>
        <w:t xml:space="preserve"> </w:t>
      </w:r>
      <w:r>
        <w:t xml:space="preserve">(Meng et al. 2024)</w:t>
      </w:r>
      <w:r>
        <w:t xml:space="preserve">. Regarding fees, SIB charges fall within a similar range compared to other European curricula targeting the same audience (e.g., EMBL-EBI courses, VIB training), although course fees do not cover all costs. Consequently, there is limited flexibility to further reduce this barrier without jeopardizing financial sustainability.</w:t>
      </w:r>
    </w:p>
    <w:bookmarkEnd w:id="52"/>
    <w:bookmarkStart w:id="53" w:name="the-need-for-human-interaction"/>
    <w:p>
      <w:pPr>
        <w:pStyle w:val="Heading4"/>
      </w:pPr>
      <w:r>
        <w:t xml:space="preserve">4.1.3 The need for human interaction</w:t>
      </w:r>
    </w:p>
    <w:p>
      <w:pPr>
        <w:pStyle w:val="FirstParagraph"/>
      </w:pPr>
      <w:r>
        <w:t xml:space="preserve">Respondents particularly liked short interactive live course formats, and combinations of both live and self-paced learning (blended). This shows the need of the human aspect in courses, such as the interaction between trainers and learners, and between learners themselves. Despite it being suggested to improve educational outcomes</w:t>
      </w:r>
      <w:r>
        <w:t xml:space="preserve"> </w:t>
      </w:r>
      <w:r>
        <w:t xml:space="preserve">(Dong 2026)</w:t>
      </w:r>
      <w:r>
        <w:t xml:space="preserve">, there was a tendency towards dislike of AI-assisted learning formats, which is interesting given the high demand for training on AI and LLMs. This indicates that while respondents are interested in learning about AI, they prefer to learn in a more traditional format, with human interaction and guidance. This could be explained by overall trust issues regarding AI usage in education</w:t>
      </w:r>
      <w:r>
        <w:t xml:space="preserve"> </w:t>
      </w:r>
      <w:r>
        <w:t xml:space="preserve">(Lelescu et al. 2025)</w:t>
      </w:r>
      <w:r>
        <w:t xml:space="preserve">. We do not know how respondents interpreted what</w:t>
      </w:r>
      <w:r>
        <w:t xml:space="preserve"> </w:t>
      </w:r>
      <w:r>
        <w:t xml:space="preserve">‘AI-assisted learning formats’</w:t>
      </w:r>
      <w:r>
        <w:t xml:space="preserve"> </w:t>
      </w:r>
      <w:r>
        <w:t xml:space="preserve">means. It is therefore important in next steps to understand how learners would appreciate this format, and what their expectations are.</w:t>
      </w:r>
    </w:p>
    <w:bookmarkEnd w:id="53"/>
    <w:bookmarkEnd w:id="54"/>
    <w:bookmarkStart w:id="55" w:name="Xb35517a315e76c974aa3df1a4c47fd1b52f9a98"/>
    <w:p>
      <w:pPr>
        <w:pStyle w:val="Heading3"/>
      </w:pPr>
      <w:r>
        <w:t xml:space="preserve">4.2 Learner profiles characterize heterogeneous training needs</w:t>
      </w:r>
    </w:p>
    <w:p>
      <w:pPr>
        <w:pStyle w:val="FirstParagraph"/>
      </w:pPr>
      <w:r>
        <w:t xml:space="preserve">The problems that can be solved with bioinformatics are very diverse, and professionals solving these problems are highly heterogeneous. Therefore, analyzing the survey as a homogeneous group, or slicing the group by demographic indicators only partly captures the diversity of training needs. This issue is not specific to bioinformatics training, creating clusters of respondents is an overall valuable approach for understanding survey data, for example in citizenship norms</w:t>
      </w:r>
      <w:r>
        <w:t xml:space="preserve"> </w:t>
      </w:r>
      <w:r>
        <w:t xml:space="preserve">(Hooghe et al. 2016)</w:t>
      </w:r>
      <w:r>
        <w:t xml:space="preserve">, health literacy</w:t>
      </w:r>
      <w:r>
        <w:t xml:space="preserve"> </w:t>
      </w:r>
      <w:r>
        <w:t xml:space="preserve">(Cheng et al. 2024; Hyde et al. 2019)</w:t>
      </w:r>
      <w:r>
        <w:t xml:space="preserve">, bullying</w:t>
      </w:r>
      <w:r>
        <w:t xml:space="preserve"> </w:t>
      </w:r>
      <w:r>
        <w:t xml:space="preserve">(Chung and Lee 2020)</w:t>
      </w:r>
      <w:r>
        <w:t xml:space="preserve"> </w:t>
      </w:r>
      <w:r>
        <w:t xml:space="preserve">or company training</w:t>
      </w:r>
      <w:r>
        <w:t xml:space="preserve"> </w:t>
      </w:r>
      <w:r>
        <w:t xml:space="preserve">(Wenger and Lamamra 2024)</w:t>
      </w:r>
      <w:r>
        <w:t xml:space="preserve">.</w:t>
      </w:r>
    </w:p>
    <w:p>
      <w:pPr>
        <w:pStyle w:val="BodyText"/>
      </w:pPr>
      <w:r>
        <w:t xml:space="preserve">By using graph-based clustering of the answers on training topics, we got a much more granular view, revealing insights that would otherwise remain hidden. For example, the topic</w:t>
      </w:r>
      <w:r>
        <w:t xml:space="preserve"> </w:t>
      </w:r>
      <w:r>
        <w:t xml:space="preserve">“AI-assisted coding and analysis”</w:t>
      </w:r>
      <w:r>
        <w:t xml:space="preserve"> </w:t>
      </w:r>
      <w:r>
        <w:t xml:space="preserve">was ranked as most needed by the complete pool of respondents. Within the clusters, though, it was the most needed topic in the</w:t>
      </w:r>
      <w:r>
        <w:t xml:space="preserve"> </w:t>
      </w:r>
      <w:r>
        <w:t xml:space="preserve">‘AI and data’</w:t>
      </w:r>
      <w:r>
        <w:t xml:space="preserve"> </w:t>
      </w:r>
      <w:r>
        <w:t xml:space="preserve">profile (Cluster 1), but not even in the top 10 for the</w:t>
      </w:r>
      <w:r>
        <w:t xml:space="preserve"> </w:t>
      </w:r>
      <w:r>
        <w:t xml:space="preserve">‘Functional genomics’</w:t>
      </w:r>
      <w:r>
        <w:t xml:space="preserve"> </w:t>
      </w:r>
      <w:r>
        <w:t xml:space="preserve">profile (Cluster 3). This shows that organising a course on this topic would serve the primary needs of the</w:t>
      </w:r>
      <w:r>
        <w:t xml:space="preserve"> </w:t>
      </w:r>
      <w:r>
        <w:t xml:space="preserve">‘AI and data’</w:t>
      </w:r>
      <w:r>
        <w:t xml:space="preserve"> </w:t>
      </w:r>
      <w:r>
        <w:t xml:space="preserve">profile, but only partly those of respondents in the other learner profiles.</w:t>
      </w:r>
    </w:p>
    <w:p>
      <w:pPr>
        <w:pStyle w:val="BodyText"/>
      </w:pPr>
      <w:r>
        <w:t xml:space="preserve">The reverse also occurs. The topic</w:t>
      </w:r>
      <w:r>
        <w:t xml:space="preserve"> </w:t>
      </w:r>
      <w:r>
        <w:t xml:space="preserve">“Phylogenetics data analysis”</w:t>
      </w:r>
      <w:r>
        <w:t xml:space="preserve"> </w:t>
      </w:r>
      <w:r>
        <w:t xml:space="preserve">ranked 15th among the complete pool of respondents, suggesting a moderate to low priority. Within the</w:t>
      </w:r>
      <w:r>
        <w:t xml:space="preserve"> </w:t>
      </w:r>
      <w:r>
        <w:t xml:space="preserve">‘Infectious disease genomics’</w:t>
      </w:r>
      <w:r>
        <w:t xml:space="preserve"> </w:t>
      </w:r>
      <w:r>
        <w:t xml:space="preserve">profile (Cluster 2), however, it was the single most needed topic. Since respondents were fairly evenly distributed across clusters, each learner profile deserves similar attention when designing a curriculum that matches these heterogeneous training needs. Organising courses around profile-specific topics, rather than relying on the aggregate ranking alone, would therefore better serve substantial groups of respondents.</w:t>
      </w:r>
    </w:p>
    <w:p>
      <w:pPr>
        <w:pStyle w:val="BodyText"/>
      </w:pPr>
      <w:r>
        <w:t xml:space="preserve">The learner profiles also enable a more targeted approach to address barriers to participation, learning formats and demographics. For example, the</w:t>
      </w:r>
      <w:r>
        <w:t xml:space="preserve"> </w:t>
      </w:r>
      <w:r>
        <w:t xml:space="preserve">‘AI and data’</w:t>
      </w:r>
      <w:r>
        <w:t xml:space="preserve"> </w:t>
      </w:r>
      <w:r>
        <w:t xml:space="preserve">profile (Cluster 1) has a higher proportion of early-career scientists and a higher proportion of respondents from Swiss universities, while the</w:t>
      </w:r>
      <w:r>
        <w:t xml:space="preserve"> </w:t>
      </w:r>
      <w:r>
        <w:t xml:space="preserve">‘Biochemistry, imaging &amp; AI’</w:t>
      </w:r>
      <w:r>
        <w:t xml:space="preserve"> </w:t>
      </w:r>
      <w:r>
        <w:t xml:space="preserve">profile (Cluster 4) has a higher proportion of senior scientists and respondents from industry. These differences in demographics can inform the design of training programs that are tailored to the specific needs and preferences of each learner profile.</w:t>
      </w:r>
    </w:p>
    <w:bookmarkEnd w:id="55"/>
    <w:bookmarkEnd w:id="56"/>
    <w:bookmarkStart w:id="130" w:name="conclusion"/>
    <w:p>
      <w:pPr>
        <w:pStyle w:val="Heading2"/>
      </w:pPr>
      <w:r>
        <w:t xml:space="preserve">5 Conclusion</w:t>
      </w:r>
    </w:p>
    <w:p>
      <w:pPr>
        <w:pStyle w:val="FirstParagraph"/>
      </w:pPr>
      <w:r>
        <w:t xml:space="preserve">This study demonstrates the utility of network analysis and community detection for understanding training needs and translating them into curriculum design. By clustering respondents based on their shared needs rather than demographics, we identified four meaningful learner profiles. Overall and within those profiles, there is a clear need for training on AI-related topics. The dislike of AI-assisted learning formats, and preference for synchronous interactive formats shows a need for human interaction during training, and raises questions on trust and liability issues while using AI in the classroom. Tailoring training curricula to these empirically derived learner profiles enables training providers to effectively address topical needs, participation barriers and teaching formats in order to ensure educational effectiveness in a rapidly evolving scientific landscape.</w:t>
      </w:r>
    </w:p>
    <w:bookmarkStart w:id="129" w:name="refs"/>
    <w:bookmarkStart w:id="58" w:name="ref-attwood_global_2019"/>
    <w:p>
      <w:pPr>
        <w:pStyle w:val="Bibliography"/>
      </w:pPr>
      <w:r>
        <w:t xml:space="preserve">Attwood, Teresa K., Sarah Blackford, Michelle D. Brazas, Angela Davies, and Maria Victoria Schneider. 2019.</w:t>
      </w:r>
      <w:r>
        <w:t xml:space="preserve"> </w:t>
      </w:r>
      <w:r>
        <w:t xml:space="preserve">“A Global Perspective on Evolving Bioinformatics and Data Science Training Needs.”</w:t>
      </w:r>
      <w:r>
        <w:t xml:space="preserve"> </w:t>
      </w:r>
      <w:r>
        <w:rPr>
          <w:i/>
          <w:iCs/>
        </w:rPr>
        <w:t xml:space="preserve">Briefings in Bioinformatics</w:t>
      </w:r>
      <w:r>
        <w:t xml:space="preserve"> </w:t>
      </w:r>
      <w:r>
        <w:t xml:space="preserve">20 (2): 398–404.</w:t>
      </w:r>
      <w:r>
        <w:t xml:space="preserve"> </w:t>
      </w:r>
      <w:hyperlink r:id="rId57">
        <w:r>
          <w:rPr>
            <w:rStyle w:val="Hyperlink"/>
          </w:rPr>
          <w:t xml:space="preserve">https://doi.org/10.1093/bib/bbx100</w:t>
        </w:r>
      </w:hyperlink>
      <w:r>
        <w:t xml:space="preserve">.</w:t>
      </w:r>
    </w:p>
    <w:bookmarkEnd w:id="58"/>
    <w:bookmarkStart w:id="60" w:name="ref-bewersdorff_taking_2025"/>
    <w:p>
      <w:pPr>
        <w:pStyle w:val="Bibliography"/>
      </w:pPr>
      <w:r>
        <w:t xml:space="preserve">Bewersdorff, Arne, Christian Hartmann, Marie Hornberger, et al. 2025.</w:t>
      </w:r>
      <w:r>
        <w:t xml:space="preserve"> </w:t>
      </w:r>
      <w:r>
        <w:t xml:space="preserve">“Taking the Next Step with Generative Artificial Intelligence:</w:t>
      </w:r>
      <w:r>
        <w:t xml:space="preserve"> </w:t>
      </w:r>
      <w:r>
        <w:t xml:space="preserve">The</w:t>
      </w:r>
      <w:r>
        <w:t xml:space="preserve"> </w:t>
      </w:r>
      <w:r>
        <w:t xml:space="preserve">Transformative Role of Multimodal Large Language Models in Science Education.”</w:t>
      </w:r>
      <w:r>
        <w:t xml:space="preserve"> </w:t>
      </w:r>
      <w:r>
        <w:rPr>
          <w:i/>
          <w:iCs/>
        </w:rPr>
        <w:t xml:space="preserve">Learning and Individual Differences</w:t>
      </w:r>
      <w:r>
        <w:t xml:space="preserve"> </w:t>
      </w:r>
      <w:r>
        <w:t xml:space="preserve">118 (February): 102601.</w:t>
      </w:r>
      <w:r>
        <w:t xml:space="preserve"> </w:t>
      </w:r>
      <w:hyperlink r:id="rId59">
        <w:r>
          <w:rPr>
            <w:rStyle w:val="Hyperlink"/>
          </w:rPr>
          <w:t xml:space="preserve">https://doi.org/10.1016/j.lindif.2024.102601</w:t>
        </w:r>
      </w:hyperlink>
      <w:r>
        <w:t xml:space="preserve">.</w:t>
      </w:r>
    </w:p>
    <w:bookmarkEnd w:id="60"/>
    <w:bookmarkStart w:id="62" w:name="ref-blondel_fast_2008"/>
    <w:p>
      <w:pPr>
        <w:pStyle w:val="Bibliography"/>
      </w:pPr>
      <w:r>
        <w:t xml:space="preserve">Blondel, Vincent D, Jean-Loup Guillaume, Renaud Lambiotte, and Etienne Lefebvre. 2008.</w:t>
      </w:r>
      <w:r>
        <w:t xml:space="preserve"> </w:t>
      </w:r>
      <w:r>
        <w:t xml:space="preserve">“Fast Unfolding of Communities in Large Networks.”</w:t>
      </w:r>
      <w:r>
        <w:t xml:space="preserve"> </w:t>
      </w:r>
      <w:r>
        <w:rPr>
          <w:i/>
          <w:iCs/>
        </w:rPr>
        <w:t xml:space="preserve">Journal of Statistical Mechanics: Theory and Experiment</w:t>
      </w:r>
      <w:r>
        <w:t xml:space="preserve"> </w:t>
      </w:r>
      <w:r>
        <w:t xml:space="preserve">2008 (10): P10008.</w:t>
      </w:r>
      <w:r>
        <w:t xml:space="preserve"> </w:t>
      </w:r>
      <w:hyperlink r:id="rId61">
        <w:r>
          <w:rPr>
            <w:rStyle w:val="Hyperlink"/>
          </w:rPr>
          <w:t xml:space="preserve">https://doi.org/10.1088/1742-5468/2008/10/P10008</w:t>
        </w:r>
      </w:hyperlink>
      <w:r>
        <w:t xml:space="preserve">.</w:t>
      </w:r>
    </w:p>
    <w:bookmarkEnd w:id="62"/>
    <w:bookmarkStart w:id="64" w:name="ref-cheng_measuring_2024"/>
    <w:p>
      <w:pPr>
        <w:pStyle w:val="Bibliography"/>
      </w:pPr>
      <w:r>
        <w:t xml:space="preserve">Cheng, Christina, Shandell Elmer, Roy Batterham, Melanie Hawkins, and Richard H Osborne. 2024.</w:t>
      </w:r>
      <w:r>
        <w:t xml:space="preserve"> </w:t>
      </w:r>
      <w:r>
        <w:t xml:space="preserve">“Measuring Health Literacy to Inform Actions to Address Health Inequities: A Cluster Analysis Approach Based on the</w:t>
      </w:r>
      <w:r>
        <w:t xml:space="preserve"> </w:t>
      </w:r>
      <w:r>
        <w:t xml:space="preserve">Australian</w:t>
      </w:r>
      <w:r>
        <w:t xml:space="preserve"> </w:t>
      </w:r>
      <w:r>
        <w:t xml:space="preserve">National Health Literacy Survey.”</w:t>
      </w:r>
      <w:r>
        <w:t xml:space="preserve"> </w:t>
      </w:r>
      <w:r>
        <w:rPr>
          <w:i/>
          <w:iCs/>
        </w:rPr>
        <w:t xml:space="preserve">Journal of Public Health</w:t>
      </w:r>
      <w:r>
        <w:t xml:space="preserve"> </w:t>
      </w:r>
      <w:r>
        <w:t xml:space="preserve">46 (4): e663–74.</w:t>
      </w:r>
      <w:r>
        <w:t xml:space="preserve"> </w:t>
      </w:r>
      <w:hyperlink r:id="rId63">
        <w:r>
          <w:rPr>
            <w:rStyle w:val="Hyperlink"/>
          </w:rPr>
          <w:t xml:space="preserve">https://doi.org/10.1093/pubmed/fdae165</w:t>
        </w:r>
      </w:hyperlink>
      <w:r>
        <w:t xml:space="preserve">.</w:t>
      </w:r>
    </w:p>
    <w:bookmarkEnd w:id="64"/>
    <w:bookmarkStart w:id="66" w:name="ref-chung_are_2020"/>
    <w:p>
      <w:pPr>
        <w:pStyle w:val="Bibliography"/>
      </w:pPr>
      <w:r>
        <w:t xml:space="preserve">Chung, Jae Young, and Sunbok Lee. 2020.</w:t>
      </w:r>
      <w:r>
        <w:t xml:space="preserve"> </w:t>
      </w:r>
      <w:r>
        <w:t xml:space="preserve">“Are Bully-Victims Homogeneous?</w:t>
      </w:r>
      <w:r>
        <w:t xml:space="preserve"> </w:t>
      </w:r>
      <w:r>
        <w:t xml:space="preserve">Latent</w:t>
      </w:r>
      <w:r>
        <w:t xml:space="preserve"> </w:t>
      </w:r>
      <w:r>
        <w:t xml:space="preserve">Class Analysis on School Bullying.”</w:t>
      </w:r>
      <w:r>
        <w:t xml:space="preserve"> </w:t>
      </w:r>
      <w:r>
        <w:rPr>
          <w:i/>
          <w:iCs/>
        </w:rPr>
        <w:t xml:space="preserve">Children and Youth Services Review</w:t>
      </w:r>
      <w:r>
        <w:t xml:space="preserve"> </w:t>
      </w:r>
      <w:r>
        <w:t xml:space="preserve">112 (May): 104922.</w:t>
      </w:r>
      <w:r>
        <w:t xml:space="preserve"> </w:t>
      </w:r>
      <w:hyperlink r:id="rId65">
        <w:r>
          <w:rPr>
            <w:rStyle w:val="Hyperlink"/>
          </w:rPr>
          <w:t xml:space="preserve">https://doi.org/10.1016/j.childyouth.2020.104922</w:t>
        </w:r>
      </w:hyperlink>
      <w:r>
        <w:t xml:space="preserve">.</w:t>
      </w:r>
    </w:p>
    <w:bookmarkEnd w:id="66"/>
    <w:bookmarkStart w:id="68" w:name="ref-csardi_igraph_2026"/>
    <w:p>
      <w:pPr>
        <w:pStyle w:val="Bibliography"/>
      </w:pPr>
      <w:r>
        <w:t xml:space="preserve">Csárdi, Gábor, Tamás Nepusz, Vincent Traag, et al. 2026.</w:t>
      </w:r>
      <w:r>
        <w:t xml:space="preserve"> </w:t>
      </w:r>
      <w:r>
        <w:rPr>
          <w:i/>
          <w:iCs/>
        </w:rPr>
        <w:t xml:space="preserve">igraph</w:t>
      </w:r>
      <w:r>
        <w:rPr>
          <w:i/>
          <w:iCs/>
        </w:rPr>
        <w:t xml:space="preserve">: Network Analysis and Visualization in r</w:t>
      </w:r>
      <w:r>
        <w:t xml:space="preserve">.</w:t>
      </w:r>
      <w:r>
        <w:t xml:space="preserve"> </w:t>
      </w:r>
      <w:hyperlink r:id="rId67">
        <w:r>
          <w:rPr>
            <w:rStyle w:val="Hyperlink"/>
          </w:rPr>
          <w:t xml:space="preserve">https://doi.org/10.5281/zenodo.7682609</w:t>
        </w:r>
      </w:hyperlink>
      <w:r>
        <w:t xml:space="preserve">.</w:t>
      </w:r>
    </w:p>
    <w:bookmarkEnd w:id="68"/>
    <w:bookmarkStart w:id="70" w:name="ref-daepp_ai_2026"/>
    <w:p>
      <w:pPr>
        <w:pStyle w:val="Bibliography"/>
      </w:pPr>
      <w:r>
        <w:t xml:space="preserve">Daepp, Madeleine I. G., Kiran Tomlinson, Scott Counts, and Siddharth Suri. 2026.</w:t>
      </w:r>
      <w:r>
        <w:t xml:space="preserve"> </w:t>
      </w:r>
      <w:r>
        <w:t xml:space="preserve">“</w:t>
      </w:r>
      <w:r>
        <w:t xml:space="preserve">AI</w:t>
      </w:r>
      <w:r>
        <w:t xml:space="preserve"> </w:t>
      </w:r>
      <w:r>
        <w:t xml:space="preserve">and the Democratization of Knowledge Work.”</w:t>
      </w:r>
      <w:r>
        <w:t xml:space="preserve"> </w:t>
      </w:r>
      <w:r>
        <w:rPr>
          <w:i/>
          <w:iCs/>
        </w:rPr>
        <w:t xml:space="preserve">Nature Computational Science</w:t>
      </w:r>
      <w:r>
        <w:t xml:space="preserve"> </w:t>
      </w:r>
      <w:r>
        <w:t xml:space="preserve">6 (6): 558–64.</w:t>
      </w:r>
      <w:r>
        <w:t xml:space="preserve"> </w:t>
      </w:r>
      <w:hyperlink r:id="rId69">
        <w:r>
          <w:rPr>
            <w:rStyle w:val="Hyperlink"/>
          </w:rPr>
          <w:t xml:space="preserve">https://doi.org/10.1038/s43588-026-00985-z</w:t>
        </w:r>
      </w:hyperlink>
      <w:r>
        <w:t xml:space="preserve">.</w:t>
      </w:r>
    </w:p>
    <w:bookmarkEnd w:id="70"/>
    <w:bookmarkStart w:id="72" w:name="ref-dong_generative_2026"/>
    <w:p>
      <w:pPr>
        <w:pStyle w:val="Bibliography"/>
      </w:pPr>
      <w:r>
        <w:t xml:space="preserve">Dong, Ying. 2026.</w:t>
      </w:r>
      <w:r>
        <w:t xml:space="preserve"> </w:t>
      </w:r>
      <w:r>
        <w:t xml:space="preserve">“Generative</w:t>
      </w:r>
      <w:r>
        <w:t xml:space="preserve"> </w:t>
      </w:r>
      <w:r>
        <w:t xml:space="preserve">AI</w:t>
      </w:r>
      <w:r>
        <w:t xml:space="preserve"> </w:t>
      </w:r>
      <w:r>
        <w:t xml:space="preserve">Technologies and Educational Outcomes: A Comprehensive Meta-Analysis Comparing Traditional and</w:t>
      </w:r>
      <w:r>
        <w:t xml:space="preserve"> </w:t>
      </w:r>
      <w:r>
        <w:t xml:space="preserve">AI</w:t>
      </w:r>
      <w:r>
        <w:t xml:space="preserve">-Driven Approaches.”</w:t>
      </w:r>
      <w:r>
        <w:t xml:space="preserve"> </w:t>
      </w:r>
      <w:r>
        <w:rPr>
          <w:i/>
          <w:iCs/>
        </w:rPr>
        <w:t xml:space="preserve">Humanities and Social Sciences Communications</w:t>
      </w:r>
      <w:r>
        <w:t xml:space="preserve"> </w:t>
      </w:r>
      <w:r>
        <w:t xml:space="preserve">13 (1): 559.</w:t>
      </w:r>
      <w:r>
        <w:t xml:space="preserve"> </w:t>
      </w:r>
      <w:hyperlink r:id="rId71">
        <w:r>
          <w:rPr>
            <w:rStyle w:val="Hyperlink"/>
          </w:rPr>
          <w:t xml:space="preserve">https://doi.org/10.1057/s41599-026-06903-y</w:t>
        </w:r>
      </w:hyperlink>
      <w:r>
        <w:t xml:space="preserve">.</w:t>
      </w:r>
    </w:p>
    <w:bookmarkEnd w:id="72"/>
    <w:bookmarkStart w:id="74" w:name="ref-drew_revisiting_2023"/>
    <w:p>
      <w:pPr>
        <w:pStyle w:val="Bibliography"/>
      </w:pPr>
      <w:r>
        <w:t xml:space="preserve">Drew, Jennifer, William Morgan, Sebastian Galindo, et al. 2023.</w:t>
      </w:r>
      <w:r>
        <w:t xml:space="preserve"> </w:t>
      </w:r>
      <w:r>
        <w:t xml:space="preserve">“Revisiting Barriers to Implementation of Bioinformatics into Life Sciences Education.”</w:t>
      </w:r>
      <w:r>
        <w:t xml:space="preserve"> </w:t>
      </w:r>
      <w:r>
        <w:rPr>
          <w:i/>
          <w:iCs/>
        </w:rPr>
        <w:t xml:space="preserve">Frontiers in Education</w:t>
      </w:r>
      <w:r>
        <w:t xml:space="preserve"> </w:t>
      </w:r>
      <w:r>
        <w:t xml:space="preserve">8 (November).</w:t>
      </w:r>
      <w:r>
        <w:t xml:space="preserve"> </w:t>
      </w:r>
      <w:hyperlink r:id="rId73">
        <w:r>
          <w:rPr>
            <w:rStyle w:val="Hyperlink"/>
          </w:rPr>
          <w:t xml:space="preserve">https://doi.org/10.3389/feduc.2023.1317191</w:t>
        </w:r>
      </w:hyperlink>
      <w:r>
        <w:t xml:space="preserve">.</w:t>
      </w:r>
    </w:p>
    <w:bookmarkEnd w:id="74"/>
    <w:bookmarkStart w:id="76" w:name="ref-ebner_learning_2019"/>
    <w:p>
      <w:pPr>
        <w:pStyle w:val="Bibliography"/>
      </w:pPr>
      <w:r>
        <w:t xml:space="preserve">Ebner, Christian, and Andreas Gegenfurtner. 2019.</w:t>
      </w:r>
      <w:r>
        <w:t xml:space="preserve"> </w:t>
      </w:r>
      <w:r>
        <w:t xml:space="preserve">“Learning and</w:t>
      </w:r>
      <w:r>
        <w:t xml:space="preserve"> </w:t>
      </w:r>
      <w:r>
        <w:t xml:space="preserve">Satisfaction</w:t>
      </w:r>
      <w:r>
        <w:t xml:space="preserve"> </w:t>
      </w:r>
      <w:r>
        <w:t xml:space="preserve">in</w:t>
      </w:r>
      <w:r>
        <w:t xml:space="preserve"> </w:t>
      </w:r>
      <w:r>
        <w:t xml:space="preserve">Webinar</w:t>
      </w:r>
      <w:r>
        <w:t xml:space="preserve">,</w:t>
      </w:r>
      <w:r>
        <w:t xml:space="preserve"> </w:t>
      </w:r>
      <w:r>
        <w:t xml:space="preserve">Online</w:t>
      </w:r>
      <w:r>
        <w:t xml:space="preserve">, and</w:t>
      </w:r>
      <w:r>
        <w:t xml:space="preserve"> </w:t>
      </w:r>
      <w:r>
        <w:t xml:space="preserve">Face</w:t>
      </w:r>
      <w:r>
        <w:t xml:space="preserve">-to-</w:t>
      </w:r>
      <w:r>
        <w:t xml:space="preserve">Face</w:t>
      </w:r>
      <w:r>
        <w:t xml:space="preserve"> </w:t>
      </w:r>
      <w:r>
        <w:t xml:space="preserve">Instruction</w:t>
      </w:r>
      <w:r>
        <w:t xml:space="preserve">:</w:t>
      </w:r>
      <w:r>
        <w:t xml:space="preserve"> </w:t>
      </w:r>
      <w:r>
        <w:t xml:space="preserve">A</w:t>
      </w:r>
      <w:r>
        <w:t xml:space="preserve"> </w:t>
      </w:r>
      <w:r>
        <w:t xml:space="preserve">Meta</w:t>
      </w:r>
      <w:r>
        <w:t xml:space="preserve">-</w:t>
      </w:r>
      <w:r>
        <w:t xml:space="preserve">Analysis</w:t>
      </w:r>
      <w:r>
        <w:t xml:space="preserve">.”</w:t>
      </w:r>
      <w:r>
        <w:t xml:space="preserve"> </w:t>
      </w:r>
      <w:r>
        <w:rPr>
          <w:i/>
          <w:iCs/>
        </w:rPr>
        <w:t xml:space="preserve">Frontiers in Education</w:t>
      </w:r>
      <w:r>
        <w:t xml:space="preserve"> </w:t>
      </w:r>
      <w:r>
        <w:t xml:space="preserve">4 (September).</w:t>
      </w:r>
      <w:r>
        <w:t xml:space="preserve"> </w:t>
      </w:r>
      <w:hyperlink r:id="rId75">
        <w:r>
          <w:rPr>
            <w:rStyle w:val="Hyperlink"/>
          </w:rPr>
          <w:t xml:space="preserve">https://doi.org/10.3389/feduc.2019.00092</w:t>
        </w:r>
      </w:hyperlink>
      <w:r>
        <w:t xml:space="preserve">.</w:t>
      </w:r>
    </w:p>
    <w:bookmarkEnd w:id="76"/>
    <w:bookmarkStart w:id="78" w:name="ref-esiyok_acceptance_2025"/>
    <w:p>
      <w:pPr>
        <w:pStyle w:val="Bibliography"/>
      </w:pPr>
      <w:r>
        <w:t xml:space="preserve">Esiyok, Elif, Sahin Gokcearslan, and Kemal Gurkan Kucukergin. 2025.</w:t>
      </w:r>
      <w:r>
        <w:t xml:space="preserve"> </w:t>
      </w:r>
      <w:r>
        <w:t xml:space="preserve">“Acceptance of</w:t>
      </w:r>
      <w:r>
        <w:t xml:space="preserve"> </w:t>
      </w:r>
      <w:r>
        <w:t xml:space="preserve">Educational</w:t>
      </w:r>
      <w:r>
        <w:t xml:space="preserve"> </w:t>
      </w:r>
      <w:r>
        <w:t xml:space="preserve">Use</w:t>
      </w:r>
      <w:r>
        <w:t xml:space="preserve"> </w:t>
      </w:r>
      <w:r>
        <w:t xml:space="preserve">of</w:t>
      </w:r>
      <w:r>
        <w:t xml:space="preserve"> </w:t>
      </w:r>
      <w:r>
        <w:t xml:space="preserve">AI</w:t>
      </w:r>
      <w:r>
        <w:t xml:space="preserve"> </w:t>
      </w:r>
      <w:r>
        <w:t xml:space="preserve">Chatbots</w:t>
      </w:r>
      <w:r>
        <w:t xml:space="preserve"> </w:t>
      </w:r>
      <w:r>
        <w:t xml:space="preserve">in the</w:t>
      </w:r>
      <w:r>
        <w:t xml:space="preserve"> </w:t>
      </w:r>
      <w:r>
        <w:t xml:space="preserve">Context</w:t>
      </w:r>
      <w:r>
        <w:t xml:space="preserve"> </w:t>
      </w:r>
      <w:r>
        <w:t xml:space="preserve">of</w:t>
      </w:r>
      <w:r>
        <w:t xml:space="preserve"> </w:t>
      </w:r>
      <w:r>
        <w:t xml:space="preserve">Self</w:t>
      </w:r>
      <w:r>
        <w:t xml:space="preserve">-</w:t>
      </w:r>
      <w:r>
        <w:t xml:space="preserve">Directed</w:t>
      </w:r>
      <w:r>
        <w:t xml:space="preserve"> </w:t>
      </w:r>
      <w:r>
        <w:t xml:space="preserve">Learning</w:t>
      </w:r>
      <w:r>
        <w:t xml:space="preserve"> </w:t>
      </w:r>
      <w:r>
        <w:t xml:space="preserve">with</w:t>
      </w:r>
      <w:r>
        <w:t xml:space="preserve"> </w:t>
      </w:r>
      <w:r>
        <w:t xml:space="preserve">Technology</w:t>
      </w:r>
      <w:r>
        <w:t xml:space="preserve"> </w:t>
      </w:r>
      <w:r>
        <w:t xml:space="preserve">and</w:t>
      </w:r>
      <w:r>
        <w:t xml:space="preserve"> </w:t>
      </w:r>
      <w:r>
        <w:t xml:space="preserve">ICT</w:t>
      </w:r>
      <w:r>
        <w:t xml:space="preserve"> </w:t>
      </w:r>
      <w:r>
        <w:t xml:space="preserve">Self</w:t>
      </w:r>
      <w:r>
        <w:t xml:space="preserve">-</w:t>
      </w:r>
      <w:r>
        <w:t xml:space="preserve">Efficacy</w:t>
      </w:r>
      <w:r>
        <w:t xml:space="preserve"> </w:t>
      </w:r>
      <w:r>
        <w:t xml:space="preserve">of</w:t>
      </w:r>
      <w:r>
        <w:t xml:space="preserve"> </w:t>
      </w:r>
      <w:r>
        <w:t xml:space="preserve">Undergraduate</w:t>
      </w:r>
      <w:r>
        <w:t xml:space="preserve"> </w:t>
      </w:r>
      <w:r>
        <w:t xml:space="preserve">Students</w:t>
      </w:r>
      <w:r>
        <w:t xml:space="preserve">.”</w:t>
      </w:r>
      <w:r>
        <w:t xml:space="preserve"> </w:t>
      </w:r>
      <w:r>
        <w:rPr>
          <w:i/>
          <w:iCs/>
        </w:rPr>
        <w:t xml:space="preserve">International Journal of Human–Computer Interaction</w:t>
      </w:r>
      <w:r>
        <w:t xml:space="preserve"> </w:t>
      </w:r>
      <w:r>
        <w:t xml:space="preserve">41 (1): 641–50.</w:t>
      </w:r>
      <w:r>
        <w:t xml:space="preserve"> </w:t>
      </w:r>
      <w:hyperlink r:id="rId77">
        <w:r>
          <w:rPr>
            <w:rStyle w:val="Hyperlink"/>
          </w:rPr>
          <w:t xml:space="preserve">https://doi.org/10.1080/10447318.2024.2303557</w:t>
        </w:r>
      </w:hyperlink>
      <w:r>
        <w:t xml:space="preserve">.</w:t>
      </w:r>
    </w:p>
    <w:bookmarkEnd w:id="78"/>
    <w:bookmarkStart w:id="80" w:name="ref-geest_community_2026"/>
    <w:p>
      <w:pPr>
        <w:pStyle w:val="Bibliography"/>
      </w:pPr>
      <w:r>
        <w:t xml:space="preserve">Geest, Geert van, Daniel Thomas-Lopez, Anna A. Feitzinger, et al. 2026.</w:t>
      </w:r>
      <w:r>
        <w:t xml:space="preserve"> </w:t>
      </w:r>
      <w:r>
        <w:rPr>
          <w:i/>
          <w:iCs/>
        </w:rPr>
        <w:t xml:space="preserve">Community Needs for</w:t>
      </w:r>
      <w:r>
        <w:rPr>
          <w:i/>
          <w:iCs/>
        </w:rPr>
        <w:t xml:space="preserve"> </w:t>
      </w:r>
      <w:r>
        <w:rPr>
          <w:i/>
          <w:iCs/>
        </w:rPr>
        <w:t xml:space="preserve">FAIR</w:t>
      </w:r>
      <w:r>
        <w:rPr>
          <w:i/>
          <w:iCs/>
        </w:rPr>
        <w:t xml:space="preserve"> </w:t>
      </w:r>
      <w:r>
        <w:rPr>
          <w:i/>
          <w:iCs/>
        </w:rPr>
        <w:t xml:space="preserve">Pathogen Data</w:t>
      </w:r>
      <w:r>
        <w:t xml:space="preserve">. bioRxiv.</w:t>
      </w:r>
      <w:r>
        <w:t xml:space="preserve"> </w:t>
      </w:r>
      <w:hyperlink r:id="rId79">
        <w:r>
          <w:rPr>
            <w:rStyle w:val="Hyperlink"/>
          </w:rPr>
          <w:t xml:space="preserve">https://doi.org/10.64898/2026.04.14.718420</w:t>
        </w:r>
      </w:hyperlink>
      <w:r>
        <w:t xml:space="preserve">.</w:t>
      </w:r>
    </w:p>
    <w:bookmarkEnd w:id="80"/>
    <w:bookmarkStart w:id="82" w:name="ref-hooghe_comparative_2016"/>
    <w:p>
      <w:pPr>
        <w:pStyle w:val="Bibliography"/>
      </w:pPr>
      <w:r>
        <w:t xml:space="preserve">Hooghe, Marc, Jennifer Oser, and Sofie Marien. 2016.</w:t>
      </w:r>
      <w:r>
        <w:t xml:space="preserve"> </w:t>
      </w:r>
      <w:r>
        <w:t xml:space="preserve">“A Comparative Analysis of</w:t>
      </w:r>
      <w:r>
        <w:t xml:space="preserve"> </w:t>
      </w:r>
      <w:r>
        <w:t xml:space="preserve">‘Good Citizenship’</w:t>
      </w:r>
      <w:r>
        <w:t xml:space="preserve">:</w:t>
      </w:r>
      <w:r>
        <w:t xml:space="preserve"> </w:t>
      </w:r>
      <w:r>
        <w:t xml:space="preserve">A</w:t>
      </w:r>
      <w:r>
        <w:t xml:space="preserve"> </w:t>
      </w:r>
      <w:r>
        <w:t xml:space="preserve">Latent Class Analysis of Adolescents’ Citizenship Norms in 38 Countries.”</w:t>
      </w:r>
      <w:r>
        <w:t xml:space="preserve"> </w:t>
      </w:r>
      <w:r>
        <w:rPr>
          <w:i/>
          <w:iCs/>
        </w:rPr>
        <w:t xml:space="preserve">International Political Science Review</w:t>
      </w:r>
      <w:r>
        <w:t xml:space="preserve"> </w:t>
      </w:r>
      <w:r>
        <w:t xml:space="preserve">37 (1): 115–29.</w:t>
      </w:r>
      <w:r>
        <w:t xml:space="preserve"> </w:t>
      </w:r>
      <w:hyperlink r:id="rId81">
        <w:r>
          <w:rPr>
            <w:rStyle w:val="Hyperlink"/>
          </w:rPr>
          <w:t xml:space="preserve">https://doi.org/10.1177/0192512114541562</w:t>
        </w:r>
      </w:hyperlink>
      <w:r>
        <w:t xml:space="preserve">.</w:t>
      </w:r>
    </w:p>
    <w:bookmarkEnd w:id="82"/>
    <w:bookmarkStart w:id="84" w:name="ref-hyde_electronic_2019"/>
    <w:p>
      <w:pPr>
        <w:pStyle w:val="Bibliography"/>
      </w:pPr>
      <w:r>
        <w:t xml:space="preserve">Hyde, Lisa Lynne, Allison W. Boyes, Lisa J. Mackenzie, et al. 2019.</w:t>
      </w:r>
      <w:r>
        <w:t xml:space="preserve"> </w:t>
      </w:r>
      <w:r>
        <w:t xml:space="preserve">“Electronic</w:t>
      </w:r>
      <w:r>
        <w:t xml:space="preserve"> </w:t>
      </w:r>
      <w:r>
        <w:t xml:space="preserve">Health</w:t>
      </w:r>
      <w:r>
        <w:t xml:space="preserve"> </w:t>
      </w:r>
      <w:r>
        <w:t xml:space="preserve">Literacy</w:t>
      </w:r>
      <w:r>
        <w:t xml:space="preserve"> </w:t>
      </w:r>
      <w:r>
        <w:t xml:space="preserve">Among</w:t>
      </w:r>
      <w:r>
        <w:t xml:space="preserve"> </w:t>
      </w:r>
      <w:r>
        <w:t xml:space="preserve">Magnetic</w:t>
      </w:r>
      <w:r>
        <w:t xml:space="preserve"> </w:t>
      </w:r>
      <w:r>
        <w:t xml:space="preserve">Resonance</w:t>
      </w:r>
      <w:r>
        <w:t xml:space="preserve"> </w:t>
      </w:r>
      <w:r>
        <w:t xml:space="preserve">Imaging</w:t>
      </w:r>
      <w:r>
        <w:t xml:space="preserve"> </w:t>
      </w:r>
      <w:r>
        <w:t xml:space="preserve">and</w:t>
      </w:r>
      <w:r>
        <w:t xml:space="preserve"> </w:t>
      </w:r>
      <w:r>
        <w:t xml:space="preserve">Computed</w:t>
      </w:r>
      <w:r>
        <w:t xml:space="preserve"> </w:t>
      </w:r>
      <w:r>
        <w:t xml:space="preserve">Tomography</w:t>
      </w:r>
      <w:r>
        <w:t xml:space="preserve"> </w:t>
      </w:r>
      <w:r>
        <w:t xml:space="preserve">Medical</w:t>
      </w:r>
      <w:r>
        <w:t xml:space="preserve"> </w:t>
      </w:r>
      <w:r>
        <w:t xml:space="preserve">Imaging</w:t>
      </w:r>
      <w:r>
        <w:t xml:space="preserve"> </w:t>
      </w:r>
      <w:r>
        <w:t xml:space="preserve">Outpatients</w:t>
      </w:r>
      <w:r>
        <w:t xml:space="preserve">:</w:t>
      </w:r>
      <w:r>
        <w:t xml:space="preserve"> </w:t>
      </w:r>
      <w:r>
        <w:t xml:space="preserve">Cluster</w:t>
      </w:r>
      <w:r>
        <w:t xml:space="preserve"> </w:t>
      </w:r>
      <w:r>
        <w:t xml:space="preserve">Analysis</w:t>
      </w:r>
      <w:r>
        <w:t xml:space="preserve">.”</w:t>
      </w:r>
      <w:r>
        <w:t xml:space="preserve"> </w:t>
      </w:r>
      <w:r>
        <w:rPr>
          <w:i/>
          <w:iCs/>
        </w:rPr>
        <w:t xml:space="preserve">Journal of Medical Internet Research</w:t>
      </w:r>
      <w:r>
        <w:t xml:space="preserve"> </w:t>
      </w:r>
      <w:r>
        <w:t xml:space="preserve">21 (8): e13423.</w:t>
      </w:r>
      <w:r>
        <w:t xml:space="preserve"> </w:t>
      </w:r>
      <w:hyperlink r:id="rId83">
        <w:r>
          <w:rPr>
            <w:rStyle w:val="Hyperlink"/>
          </w:rPr>
          <w:t xml:space="preserve">https://doi.org/10.2196/13423</w:t>
        </w:r>
      </w:hyperlink>
      <w:r>
        <w:t xml:space="preserve">.</w:t>
      </w:r>
    </w:p>
    <w:bookmarkEnd w:id="84"/>
    <w:bookmarkStart w:id="86" w:name="ref-jiang_survey_2026"/>
    <w:p>
      <w:pPr>
        <w:pStyle w:val="Bibliography"/>
      </w:pPr>
      <w:r>
        <w:t xml:space="preserve">Jiang, Juyong, Fan Wang, Jiasi Shen, Sungju Kim, and Sunghun Kim. 2026.</w:t>
      </w:r>
      <w:r>
        <w:t xml:space="preserve"> </w:t>
      </w:r>
      <w:r>
        <w:t xml:space="preserve">“A</w:t>
      </w:r>
      <w:r>
        <w:t xml:space="preserve"> </w:t>
      </w:r>
      <w:r>
        <w:t xml:space="preserve">Survey</w:t>
      </w:r>
      <w:r>
        <w:t xml:space="preserve"> </w:t>
      </w:r>
      <w:r>
        <w:t xml:space="preserve">on</w:t>
      </w:r>
      <w:r>
        <w:t xml:space="preserve"> </w:t>
      </w:r>
      <w:r>
        <w:t xml:space="preserve">Large</w:t>
      </w:r>
      <w:r>
        <w:t xml:space="preserve"> </w:t>
      </w:r>
      <w:r>
        <w:t xml:space="preserve">Language</w:t>
      </w:r>
      <w:r>
        <w:t xml:space="preserve"> </w:t>
      </w:r>
      <w:r>
        <w:t xml:space="preserve">Models</w:t>
      </w:r>
      <w:r>
        <w:t xml:space="preserve"> </w:t>
      </w:r>
      <w:r>
        <w:t xml:space="preserve">for</w:t>
      </w:r>
      <w:r>
        <w:t xml:space="preserve"> </w:t>
      </w:r>
      <w:r>
        <w:t xml:space="preserve">Code</w:t>
      </w:r>
      <w:r>
        <w:t xml:space="preserve"> </w:t>
      </w:r>
      <w:r>
        <w:t xml:space="preserve">Generation</w:t>
      </w:r>
      <w:r>
        <w:t xml:space="preserve">.”</w:t>
      </w:r>
      <w:r>
        <w:t xml:space="preserve"> </w:t>
      </w:r>
      <w:r>
        <w:rPr>
          <w:i/>
          <w:iCs/>
        </w:rPr>
        <w:t xml:space="preserve">ACM Transactions on Software Engineering and Methodology</w:t>
      </w:r>
      <w:r>
        <w:t xml:space="preserve"> </w:t>
      </w:r>
      <w:r>
        <w:t xml:space="preserve">35 (2): 58:1–72.</w:t>
      </w:r>
      <w:r>
        <w:t xml:space="preserve"> </w:t>
      </w:r>
      <w:hyperlink r:id="rId85">
        <w:r>
          <w:rPr>
            <w:rStyle w:val="Hyperlink"/>
          </w:rPr>
          <w:t xml:space="preserve">https://doi.org/10.1145/3747588</w:t>
        </w:r>
      </w:hyperlink>
      <w:r>
        <w:t xml:space="preserve">.</w:t>
      </w:r>
    </w:p>
    <w:bookmarkEnd w:id="86"/>
    <w:bookmarkStart w:id="88" w:name="ref-kersloot_perceptions_2022"/>
    <w:p>
      <w:pPr>
        <w:pStyle w:val="Bibliography"/>
      </w:pPr>
      <w:r>
        <w:t xml:space="preserve">Kersloot, Martijn G., Ameen Abu-Hanna, Ronald Cornet, and Derk L. Arts. 2022.</w:t>
      </w:r>
      <w:r>
        <w:t xml:space="preserve"> </w:t>
      </w:r>
      <w:r>
        <w:t xml:space="preserve">“Perceptions and Behavior of Clinical Researchers and Research Support Staff Regarding Data</w:t>
      </w:r>
      <w:r>
        <w:t xml:space="preserve"> </w:t>
      </w:r>
      <w:r>
        <w:t xml:space="preserve">FAIRification</w:t>
      </w:r>
      <w:r>
        <w:t xml:space="preserve">.”</w:t>
      </w:r>
      <w:r>
        <w:t xml:space="preserve"> </w:t>
      </w:r>
      <w:r>
        <w:rPr>
          <w:i/>
          <w:iCs/>
        </w:rPr>
        <w:t xml:space="preserve">Scientific Data</w:t>
      </w:r>
      <w:r>
        <w:t xml:space="preserve"> </w:t>
      </w:r>
      <w:r>
        <w:t xml:space="preserve">9 (1): 241.</w:t>
      </w:r>
      <w:r>
        <w:t xml:space="preserve"> </w:t>
      </w:r>
      <w:hyperlink r:id="rId87">
        <w:r>
          <w:rPr>
            <w:rStyle w:val="Hyperlink"/>
          </w:rPr>
          <w:t xml:space="preserve">https://doi.org/10.1038/s41597-022-01325-2</w:t>
        </w:r>
      </w:hyperlink>
      <w:r>
        <w:t xml:space="preserve">.</w:t>
      </w:r>
    </w:p>
    <w:bookmarkEnd w:id="88"/>
    <w:bookmarkStart w:id="90" w:name="ref-lelescu_exploring_2025"/>
    <w:p>
      <w:pPr>
        <w:pStyle w:val="Bibliography"/>
      </w:pPr>
      <w:r>
        <w:t xml:space="preserve">Lelescu, Ana, Simona Sava, Gabriela Grosseck, and Laura Malita. 2025.</w:t>
      </w:r>
      <w:r>
        <w:t xml:space="preserve"> </w:t>
      </w:r>
      <w:r>
        <w:t xml:space="preserve">“Exploring Trust in Generative</w:t>
      </w:r>
      <w:r>
        <w:t xml:space="preserve"> </w:t>
      </w:r>
      <w:r>
        <w:t xml:space="preserve">AI</w:t>
      </w:r>
      <w:r>
        <w:t xml:space="preserve"> </w:t>
      </w:r>
      <w:r>
        <w:t xml:space="preserve">for Higher Education Institutions: A Systematic Literature Review Focused on Educators.”</w:t>
      </w:r>
      <w:r>
        <w:t xml:space="preserve"> </w:t>
      </w:r>
      <w:r>
        <w:rPr>
          <w:i/>
          <w:iCs/>
        </w:rPr>
        <w:t xml:space="preserve">Humanities and Social Sciences Communications</w:t>
      </w:r>
      <w:r>
        <w:t xml:space="preserve"> </w:t>
      </w:r>
      <w:r>
        <w:t xml:space="preserve">12 (1): 1961.</w:t>
      </w:r>
      <w:r>
        <w:t xml:space="preserve"> </w:t>
      </w:r>
      <w:hyperlink r:id="rId89">
        <w:r>
          <w:rPr>
            <w:rStyle w:val="Hyperlink"/>
          </w:rPr>
          <w:t xml:space="preserve">https://doi.org/10.1057/s41599-025-06253-1</w:t>
        </w:r>
      </w:hyperlink>
      <w:r>
        <w:t xml:space="preserve">.</w:t>
      </w:r>
    </w:p>
    <w:bookmarkEnd w:id="90"/>
    <w:bookmarkStart w:id="92" w:name="ref-martinez-garcia_fair_2023"/>
    <w:p>
      <w:pPr>
        <w:pStyle w:val="Bibliography"/>
      </w:pPr>
      <w:r>
        <w:t xml:space="preserve">Martínez-García, Alicia, Celia Alvarez-Romero, Esther Román-Villarán, Máximo Bernabeu-Wittel, and Carlos Luis Parra-Calderón. 2023.</w:t>
      </w:r>
      <w:r>
        <w:t xml:space="preserve"> </w:t>
      </w:r>
      <w:r>
        <w:t xml:space="preserve">“</w:t>
      </w:r>
      <w:r>
        <w:t xml:space="preserve">FAIR</w:t>
      </w:r>
      <w:r>
        <w:t xml:space="preserve"> </w:t>
      </w:r>
      <w:r>
        <w:t xml:space="preserve">Principles to Improve the Impact on Health Research Management Outcomes.”</w:t>
      </w:r>
      <w:r>
        <w:t xml:space="preserve"> </w:t>
      </w:r>
      <w:r>
        <w:rPr>
          <w:i/>
          <w:iCs/>
        </w:rPr>
        <w:t xml:space="preserve">Heliyon</w:t>
      </w:r>
      <w:r>
        <w:t xml:space="preserve"> </w:t>
      </w:r>
      <w:r>
        <w:t xml:space="preserve">9 (5).</w:t>
      </w:r>
      <w:r>
        <w:t xml:space="preserve"> </w:t>
      </w:r>
      <w:hyperlink r:id="rId91">
        <w:r>
          <w:rPr>
            <w:rStyle w:val="Hyperlink"/>
          </w:rPr>
          <w:t xml:space="preserve">https://doi.org/10.1016/j.heliyon.2023.e15733</w:t>
        </w:r>
      </w:hyperlink>
      <w:r>
        <w:t xml:space="preserve">.</w:t>
      </w:r>
    </w:p>
    <w:bookmarkEnd w:id="92"/>
    <w:bookmarkStart w:id="94" w:name="ref-meng_systematic_2024"/>
    <w:p>
      <w:pPr>
        <w:pStyle w:val="Bibliography"/>
      </w:pPr>
      <w:r>
        <w:t xml:space="preserve">Meng, Wentao, Lei Yu, Chen Liu, Nengchao Pan, Xiawen Pang, and Yunyun Zhu. 2024.</w:t>
      </w:r>
      <w:r>
        <w:t xml:space="preserve"> </w:t>
      </w:r>
      <w:r>
        <w:t xml:space="preserve">“A Systematic Review of the Effectiveness of Online Learning in Higher Education During the</w:t>
      </w:r>
      <w:r>
        <w:t xml:space="preserve"> </w:t>
      </w:r>
      <w:r>
        <w:t xml:space="preserve">COVID</w:t>
      </w:r>
      <w:r>
        <w:t xml:space="preserve">-19 Pandemic Period.”</w:t>
      </w:r>
      <w:r>
        <w:t xml:space="preserve"> </w:t>
      </w:r>
      <w:r>
        <w:rPr>
          <w:i/>
          <w:iCs/>
        </w:rPr>
        <w:t xml:space="preserve">Frontiers in Education</w:t>
      </w:r>
      <w:r>
        <w:t xml:space="preserve"> </w:t>
      </w:r>
      <w:r>
        <w:t xml:space="preserve">8 (January).</w:t>
      </w:r>
      <w:r>
        <w:t xml:space="preserve"> </w:t>
      </w:r>
      <w:hyperlink r:id="rId93">
        <w:r>
          <w:rPr>
            <w:rStyle w:val="Hyperlink"/>
          </w:rPr>
          <w:t xml:space="preserve">https://doi.org/10.3389/feduc.2023.1334153</w:t>
        </w:r>
      </w:hyperlink>
      <w:r>
        <w:t xml:space="preserve">.</w:t>
      </w:r>
    </w:p>
    <w:bookmarkEnd w:id="94"/>
    <w:bookmarkStart w:id="96" w:name="ref-punj_cluster_1983"/>
    <w:p>
      <w:pPr>
        <w:pStyle w:val="Bibliography"/>
      </w:pPr>
      <w:r>
        <w:t xml:space="preserve">Punj, Girish, and David W. Stewart. 1983.</w:t>
      </w:r>
      <w:r>
        <w:t xml:space="preserve"> </w:t>
      </w:r>
      <w:r>
        <w:t xml:space="preserve">“Cluster</w:t>
      </w:r>
      <w:r>
        <w:t xml:space="preserve"> </w:t>
      </w:r>
      <w:r>
        <w:t xml:space="preserve">Analysis</w:t>
      </w:r>
      <w:r>
        <w:t xml:space="preserve"> </w:t>
      </w:r>
      <w:r>
        <w:t xml:space="preserve">in</w:t>
      </w:r>
      <w:r>
        <w:t xml:space="preserve"> </w:t>
      </w:r>
      <w:r>
        <w:t xml:space="preserve">Marketing</w:t>
      </w:r>
      <w:r>
        <w:t xml:space="preserve"> </w:t>
      </w:r>
      <w:r>
        <w:t xml:space="preserve">Research</w:t>
      </w:r>
      <w:r>
        <w:t xml:space="preserve">:</w:t>
      </w:r>
      <w:r>
        <w:t xml:space="preserve"> </w:t>
      </w:r>
      <w:r>
        <w:t xml:space="preserve">Review</w:t>
      </w:r>
      <w:r>
        <w:t xml:space="preserve"> </w:t>
      </w:r>
      <w:r>
        <w:t xml:space="preserve">and</w:t>
      </w:r>
      <w:r>
        <w:t xml:space="preserve"> </w:t>
      </w:r>
      <w:r>
        <w:t xml:space="preserve">Suggestions</w:t>
      </w:r>
      <w:r>
        <w:t xml:space="preserve"> </w:t>
      </w:r>
      <w:r>
        <w:t xml:space="preserve">for</w:t>
      </w:r>
      <w:r>
        <w:t xml:space="preserve"> </w:t>
      </w:r>
      <w:r>
        <w:t xml:space="preserve">Application</w:t>
      </w:r>
      <w:r>
        <w:t xml:space="preserve">.”</w:t>
      </w:r>
      <w:r>
        <w:t xml:space="preserve"> </w:t>
      </w:r>
      <w:r>
        <w:rPr>
          <w:i/>
          <w:iCs/>
        </w:rPr>
        <w:t xml:space="preserve">Journal of Marketing Research</w:t>
      </w:r>
      <w:r>
        <w:t xml:space="preserve"> </w:t>
      </w:r>
      <w:r>
        <w:t xml:space="preserve">20 (2): 134–48.</w:t>
      </w:r>
      <w:r>
        <w:t xml:space="preserve"> </w:t>
      </w:r>
      <w:hyperlink r:id="rId95">
        <w:r>
          <w:rPr>
            <w:rStyle w:val="Hyperlink"/>
          </w:rPr>
          <w:t xml:space="preserve">https://doi.org/10.1177/002224378302000204</w:t>
        </w:r>
      </w:hyperlink>
      <w:r>
        <w:t xml:space="preserve">.</w:t>
      </w:r>
    </w:p>
    <w:bookmarkEnd w:id="96"/>
    <w:bookmarkStart w:id="98" w:name="ref-rcoreteam_r_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97">
        <w:r>
          <w:rPr>
            <w:rStyle w:val="Hyperlink"/>
          </w:rPr>
          <w:t xml:space="preserve">https://www.R-project.org/</w:t>
        </w:r>
      </w:hyperlink>
      <w:r>
        <w:t xml:space="preserve">.</w:t>
      </w:r>
    </w:p>
    <w:bookmarkEnd w:id="98"/>
    <w:bookmarkStart w:id="100" w:name="ref-rocha_past_2022"/>
    <w:p>
      <w:pPr>
        <w:pStyle w:val="Bibliography"/>
      </w:pPr>
      <w:r>
        <w:t xml:space="preserve">Rocha, Mariana, Luisa Massarani, Sandro José De Souza, and Ana Tereza R. De Vasconcelos. 2022.</w:t>
      </w:r>
      <w:r>
        <w:t xml:space="preserve"> </w:t>
      </w:r>
      <w:r>
        <w:t xml:space="preserve">“The Past, Present and Future of Genomics and Bioinformatics:</w:t>
      </w:r>
      <w:r>
        <w:t xml:space="preserve"> </w:t>
      </w:r>
      <w:r>
        <w:t xml:space="preserve">A</w:t>
      </w:r>
      <w:r>
        <w:t xml:space="preserve"> </w:t>
      </w:r>
      <w:r>
        <w:t xml:space="preserve">Survey of</w:t>
      </w:r>
      <w:r>
        <w:t xml:space="preserve"> </w:t>
      </w:r>
      <w:r>
        <w:t xml:space="preserve">Brazilian</w:t>
      </w:r>
      <w:r>
        <w:t xml:space="preserve"> </w:t>
      </w:r>
      <w:r>
        <w:t xml:space="preserve">Scientists.”</w:t>
      </w:r>
      <w:r>
        <w:t xml:space="preserve"> </w:t>
      </w:r>
      <w:r>
        <w:rPr>
          <w:i/>
          <w:iCs/>
        </w:rPr>
        <w:t xml:space="preserve">Genetics and Molecular Biology</w:t>
      </w:r>
      <w:r>
        <w:t xml:space="preserve"> </w:t>
      </w:r>
      <w:r>
        <w:t xml:space="preserve">45 (2): e20210354.</w:t>
      </w:r>
      <w:r>
        <w:t xml:space="preserve"> </w:t>
      </w:r>
      <w:hyperlink r:id="rId99">
        <w:r>
          <w:rPr>
            <w:rStyle w:val="Hyperlink"/>
          </w:rPr>
          <w:t xml:space="preserve">https://doi.org/10.1590/1678-4685-gmb-2021-0354</w:t>
        </w:r>
      </w:hyperlink>
      <w:r>
        <w:t xml:space="preserve">.</w:t>
      </w:r>
    </w:p>
    <w:bookmarkEnd w:id="100"/>
    <w:bookmarkStart w:id="102" w:name="ref-ruan_large_2026"/>
    <w:p>
      <w:pPr>
        <w:pStyle w:val="Bibliography"/>
      </w:pPr>
      <w:r>
        <w:t xml:space="preserve">Ruan, Wei, Yanjun Lyu, Jing Zhang, et al. 2026.</w:t>
      </w:r>
      <w:r>
        <w:t xml:space="preserve"> </w:t>
      </w:r>
      <w:r>
        <w:t xml:space="preserve">“Large Language Models for Bioinformatics.”</w:t>
      </w:r>
      <w:r>
        <w:t xml:space="preserve"> </w:t>
      </w:r>
      <w:r>
        <w:rPr>
          <w:i/>
          <w:iCs/>
        </w:rPr>
        <w:t xml:space="preserve">Quantitative Biology</w:t>
      </w:r>
      <w:r>
        <w:t xml:space="preserve"> </w:t>
      </w:r>
      <w:r>
        <w:t xml:space="preserve">14 (1): e70014.</w:t>
      </w:r>
      <w:r>
        <w:t xml:space="preserve"> </w:t>
      </w:r>
      <w:hyperlink r:id="rId101">
        <w:r>
          <w:rPr>
            <w:rStyle w:val="Hyperlink"/>
          </w:rPr>
          <w:t xml:space="preserve">https://doi.org/10.1002/qub2.70014</w:t>
        </w:r>
      </w:hyperlink>
      <w:r>
        <w:t xml:space="preserve">.</w:t>
      </w:r>
    </w:p>
    <w:bookmarkEnd w:id="102"/>
    <w:bookmarkStart w:id="104" w:name="ref-sangeda_baseline_2021"/>
    <w:p>
      <w:pPr>
        <w:pStyle w:val="Bibliography"/>
      </w:pPr>
      <w:r>
        <w:t xml:space="preserve">Sangeda, Raphael Zozimus, Aneth David Mwakilili, Upendo Masamu, et al. 2021.</w:t>
      </w:r>
      <w:r>
        <w:t xml:space="preserve"> </w:t>
      </w:r>
      <w:r>
        <w:t xml:space="preserve">“A</w:t>
      </w:r>
      <w:r>
        <w:t xml:space="preserve"> </w:t>
      </w:r>
      <w:r>
        <w:t xml:space="preserve">Baseline</w:t>
      </w:r>
      <w:r>
        <w:t xml:space="preserve"> </w:t>
      </w:r>
      <w:r>
        <w:t xml:space="preserve">Evaluation</w:t>
      </w:r>
      <w:r>
        <w:t xml:space="preserve"> </w:t>
      </w:r>
      <w:r>
        <w:t xml:space="preserve">of</w:t>
      </w:r>
      <w:r>
        <w:t xml:space="preserve"> </w:t>
      </w:r>
      <w:r>
        <w:t xml:space="preserve">Bioinformatics</w:t>
      </w:r>
      <w:r>
        <w:t xml:space="preserve"> </w:t>
      </w:r>
      <w:r>
        <w:t xml:space="preserve">Capacity</w:t>
      </w:r>
      <w:r>
        <w:t xml:space="preserve"> </w:t>
      </w:r>
      <w:r>
        <w:t xml:space="preserve">in</w:t>
      </w:r>
      <w:r>
        <w:t xml:space="preserve"> </w:t>
      </w:r>
      <w:r>
        <w:t xml:space="preserve">Tanzania</w:t>
      </w:r>
      <w:r>
        <w:t xml:space="preserve"> </w:t>
      </w:r>
      <w:r>
        <w:t xml:space="preserve">Reveals</w:t>
      </w:r>
      <w:r>
        <w:t xml:space="preserve"> </w:t>
      </w:r>
      <w:r>
        <w:t xml:space="preserve">Areas</w:t>
      </w:r>
      <w:r>
        <w:t xml:space="preserve"> </w:t>
      </w:r>
      <w:r>
        <w:t xml:space="preserve">for</w:t>
      </w:r>
      <w:r>
        <w:t xml:space="preserve"> </w:t>
      </w:r>
      <w:r>
        <w:t xml:space="preserve">Training</w:t>
      </w:r>
      <w:r>
        <w:t xml:space="preserve">.”</w:t>
      </w:r>
      <w:r>
        <w:t xml:space="preserve"> </w:t>
      </w:r>
      <w:r>
        <w:rPr>
          <w:i/>
          <w:iCs/>
        </w:rPr>
        <w:t xml:space="preserve">Frontiers in</w:t>
      </w:r>
      <w:r>
        <w:rPr>
          <w:i/>
          <w:iCs/>
        </w:rPr>
        <w:t xml:space="preserve"> </w:t>
      </w:r>
      <w:r>
        <w:rPr>
          <w:i/>
          <w:iCs/>
        </w:rPr>
        <w:t xml:space="preserve">Education</w:t>
      </w:r>
      <w:r>
        <w:t xml:space="preserve"> </w:t>
      </w:r>
      <w:r>
        <w:t xml:space="preserve">6 (June): 665313.</w:t>
      </w:r>
      <w:r>
        <w:t xml:space="preserve"> </w:t>
      </w:r>
      <w:hyperlink r:id="rId103">
        <w:r>
          <w:rPr>
            <w:rStyle w:val="Hyperlink"/>
          </w:rPr>
          <w:t xml:space="preserve">https://doi.org/10.3389/feduc.2021.665313</w:t>
        </w:r>
      </w:hyperlink>
      <w:r>
        <w:t xml:space="preserve">.</w:t>
      </w:r>
    </w:p>
    <w:bookmarkEnd w:id="104"/>
    <w:bookmarkStart w:id="106" w:name="ref-sheeran_intentionbehavior_2016"/>
    <w:p>
      <w:pPr>
        <w:pStyle w:val="Bibliography"/>
      </w:pPr>
      <w:r>
        <w:t xml:space="preserve">Sheeran, Paschal, and Thomas L. Webb. 2016.</w:t>
      </w:r>
      <w:r>
        <w:t xml:space="preserve"> </w:t>
      </w:r>
      <w:r>
        <w:t xml:space="preserve">“The</w:t>
      </w:r>
      <w:r>
        <w:t xml:space="preserve"> </w:t>
      </w:r>
      <w:r>
        <w:t xml:space="preserve">Intention</w:t>
      </w:r>
      <w:r>
        <w:t xml:space="preserve">–</w:t>
      </w:r>
      <w:r>
        <w:t xml:space="preserve">Behavior</w:t>
      </w:r>
      <w:r>
        <w:t xml:space="preserve"> </w:t>
      </w:r>
      <w:r>
        <w:t xml:space="preserve">Gap</w:t>
      </w:r>
      <w:r>
        <w:t xml:space="preserve">.”</w:t>
      </w:r>
      <w:r>
        <w:t xml:space="preserve"> </w:t>
      </w:r>
      <w:r>
        <w:rPr>
          <w:i/>
          <w:iCs/>
        </w:rPr>
        <w:t xml:space="preserve">Social and Personality Psychology Compass</w:t>
      </w:r>
      <w:r>
        <w:t xml:space="preserve"> </w:t>
      </w:r>
      <w:r>
        <w:t xml:space="preserve">10 (9): 503–18.</w:t>
      </w:r>
      <w:r>
        <w:t xml:space="preserve"> </w:t>
      </w:r>
      <w:hyperlink r:id="rId105">
        <w:r>
          <w:rPr>
            <w:rStyle w:val="Hyperlink"/>
          </w:rPr>
          <w:t xml:space="preserve">https://doi.org/10.1111/spc3.12265</w:t>
        </w:r>
      </w:hyperlink>
      <w:r>
        <w:t xml:space="preserve">.</w:t>
      </w:r>
    </w:p>
    <w:bookmarkEnd w:id="106"/>
    <w:bookmarkStart w:id="108" w:name="ref-sidhu_ai_2024"/>
    <w:p>
      <w:pPr>
        <w:pStyle w:val="Bibliography"/>
      </w:pPr>
      <w:r>
        <w:t xml:space="preserve">Sidhu, Gursahildeep Singh, Md Abu Sayem, Nazifa Taslima, Ahmed Selim Anwar, Fariba Chowdhury, and Manataka Rowshon. 2024.</w:t>
      </w:r>
      <w:r>
        <w:t xml:space="preserve"> </w:t>
      </w:r>
      <w:r>
        <w:t xml:space="preserve">“</w:t>
      </w:r>
      <w:r>
        <w:t xml:space="preserve">AI</w:t>
      </w:r>
      <w:r>
        <w:t xml:space="preserve"> </w:t>
      </w:r>
      <w:r>
        <w:t xml:space="preserve">AND</w:t>
      </w:r>
      <w:r>
        <w:t xml:space="preserve"> </w:t>
      </w:r>
      <w:r>
        <w:t xml:space="preserve">WORKFORCE</w:t>
      </w:r>
      <w:r>
        <w:t xml:space="preserve"> </w:t>
      </w:r>
      <w:r>
        <w:t xml:space="preserve">DEVELOPMENT</w:t>
      </w:r>
      <w:r>
        <w:t xml:space="preserve">:</w:t>
      </w:r>
      <w:r>
        <w:t xml:space="preserve"> </w:t>
      </w:r>
      <w:r>
        <w:t xml:space="preserve">A</w:t>
      </w:r>
      <w:r>
        <w:t xml:space="preserve"> </w:t>
      </w:r>
      <w:r>
        <w:t xml:space="preserve">COMPARATIVE</w:t>
      </w:r>
      <w:r>
        <w:t xml:space="preserve"> </w:t>
      </w:r>
      <w:r>
        <w:t xml:space="preserve">ANALYSIS</w:t>
      </w:r>
      <w:r>
        <w:t xml:space="preserve"> </w:t>
      </w:r>
      <w:r>
        <w:t xml:space="preserve">OF</w:t>
      </w:r>
      <w:r>
        <w:t xml:space="preserve"> </w:t>
      </w:r>
      <w:r>
        <w:t xml:space="preserve">SKILL</w:t>
      </w:r>
      <w:r>
        <w:t xml:space="preserve"> </w:t>
      </w:r>
      <w:r>
        <w:t xml:space="preserve">GAPS</w:t>
      </w:r>
      <w:r>
        <w:t xml:space="preserve"> </w:t>
      </w:r>
      <w:r>
        <w:t xml:space="preserve">AND</w:t>
      </w:r>
      <w:r>
        <w:t xml:space="preserve"> </w:t>
      </w:r>
      <w:r>
        <w:t xml:space="preserve">TRAINING</w:t>
      </w:r>
      <w:r>
        <w:t xml:space="preserve"> </w:t>
      </w:r>
      <w:r>
        <w:t xml:space="preserve">NEEDS</w:t>
      </w:r>
      <w:r>
        <w:t xml:space="preserve"> </w:t>
      </w:r>
      <w:r>
        <w:t xml:space="preserve">IN</w:t>
      </w:r>
      <w:r>
        <w:t xml:space="preserve"> </w:t>
      </w:r>
      <w:r>
        <w:t xml:space="preserve">EMERGING</w:t>
      </w:r>
      <w:r>
        <w:t xml:space="preserve"> </w:t>
      </w:r>
      <w:r>
        <w:t xml:space="preserve">ECONOMIES</w:t>
      </w:r>
      <w:r>
        <w:t xml:space="preserve">.”</w:t>
      </w:r>
      <w:r>
        <w:t xml:space="preserve"> </w:t>
      </w:r>
      <w:r>
        <w:rPr>
          <w:i/>
          <w:iCs/>
        </w:rPr>
        <w:t xml:space="preserve">International Journal of Business and Management Sciences</w:t>
      </w:r>
      <w:r>
        <w:t xml:space="preserve"> </w:t>
      </w:r>
      <w:r>
        <w:t xml:space="preserve">4 (08): 12–28.</w:t>
      </w:r>
      <w:r>
        <w:t xml:space="preserve"> </w:t>
      </w:r>
      <w:hyperlink r:id="rId107">
        <w:r>
          <w:rPr>
            <w:rStyle w:val="Hyperlink"/>
          </w:rPr>
          <w:t xml:space="preserve">https://doi.org/10.55640/ijbms-04-08-03</w:t>
        </w:r>
      </w:hyperlink>
      <w:r>
        <w:t xml:space="preserve">.</w:t>
      </w:r>
    </w:p>
    <w:bookmarkEnd w:id="108"/>
    <w:bookmarkStart w:id="110" w:name="ref-sima_potential_2023"/>
    <w:p>
      <w:pPr>
        <w:pStyle w:val="Bibliography"/>
      </w:pPr>
      <w:r>
        <w:t xml:space="preserve">Sima, Ana-Claudia, and Tarcisio Mendes de Farias. 2023.</w:t>
      </w:r>
      <w:r>
        <w:t xml:space="preserve"> </w:t>
      </w:r>
      <w:r>
        <w:rPr>
          <w:i/>
          <w:iCs/>
        </w:rPr>
        <w:t xml:space="preserve">On the</w:t>
      </w:r>
      <w:r>
        <w:rPr>
          <w:i/>
          <w:iCs/>
        </w:rPr>
        <w:t xml:space="preserve"> </w:t>
      </w:r>
      <w:r>
        <w:rPr>
          <w:i/>
          <w:iCs/>
        </w:rPr>
        <w:t xml:space="preserve">Potential</w:t>
      </w:r>
      <w:r>
        <w:rPr>
          <w:i/>
          <w:iCs/>
        </w:rPr>
        <w:t xml:space="preserve"> </w:t>
      </w:r>
      <w:r>
        <w:rPr>
          <w:i/>
          <w:iCs/>
        </w:rPr>
        <w:t xml:space="preserve">of</w:t>
      </w:r>
      <w:r>
        <w:rPr>
          <w:i/>
          <w:iCs/>
        </w:rPr>
        <w:t xml:space="preserve"> </w:t>
      </w:r>
      <w:r>
        <w:rPr>
          <w:i/>
          <w:iCs/>
        </w:rPr>
        <w:t xml:space="preserve">Artificial</w:t>
      </w:r>
      <w:r>
        <w:rPr>
          <w:i/>
          <w:iCs/>
        </w:rPr>
        <w:t xml:space="preserve"> </w:t>
      </w:r>
      <w:r>
        <w:rPr>
          <w:i/>
          <w:iCs/>
        </w:rPr>
        <w:t xml:space="preserve">Intelligence</w:t>
      </w:r>
      <w:r>
        <w:rPr>
          <w:i/>
          <w:iCs/>
        </w:rPr>
        <w:t xml:space="preserve"> </w:t>
      </w:r>
      <w:r>
        <w:rPr>
          <w:i/>
          <w:iCs/>
        </w:rPr>
        <w:t xml:space="preserve">Chatbots</w:t>
      </w:r>
      <w:r>
        <w:rPr>
          <w:i/>
          <w:iCs/>
        </w:rPr>
        <w:t xml:space="preserve"> </w:t>
      </w:r>
      <w:r>
        <w:rPr>
          <w:i/>
          <w:iCs/>
        </w:rPr>
        <w:t xml:space="preserve">for</w:t>
      </w:r>
      <w:r>
        <w:rPr>
          <w:i/>
          <w:iCs/>
        </w:rPr>
        <w:t xml:space="preserve"> </w:t>
      </w:r>
      <w:r>
        <w:rPr>
          <w:i/>
          <w:iCs/>
        </w:rPr>
        <w:t xml:space="preserve">Data</w:t>
      </w:r>
      <w:r>
        <w:rPr>
          <w:i/>
          <w:iCs/>
        </w:rPr>
        <w:t xml:space="preserve"> </w:t>
      </w:r>
      <w:r>
        <w:rPr>
          <w:i/>
          <w:iCs/>
        </w:rPr>
        <w:t xml:space="preserve">Exploration</w:t>
      </w:r>
      <w:r>
        <w:rPr>
          <w:i/>
          <w:iCs/>
        </w:rPr>
        <w:t xml:space="preserve"> </w:t>
      </w:r>
      <w:r>
        <w:rPr>
          <w:i/>
          <w:iCs/>
        </w:rPr>
        <w:t xml:space="preserve">of</w:t>
      </w:r>
      <w:r>
        <w:rPr>
          <w:i/>
          <w:iCs/>
        </w:rPr>
        <w:t xml:space="preserve"> </w:t>
      </w:r>
      <w:r>
        <w:rPr>
          <w:i/>
          <w:iCs/>
        </w:rPr>
        <w:t xml:space="preserve">Federated</w:t>
      </w:r>
      <w:r>
        <w:rPr>
          <w:i/>
          <w:iCs/>
        </w:rPr>
        <w:t xml:space="preserve"> </w:t>
      </w:r>
      <w:r>
        <w:rPr>
          <w:i/>
          <w:iCs/>
        </w:rPr>
        <w:t xml:space="preserve">Bioinformatics</w:t>
      </w:r>
      <w:r>
        <w:rPr>
          <w:i/>
          <w:iCs/>
        </w:rPr>
        <w:t xml:space="preserve"> </w:t>
      </w:r>
      <w:r>
        <w:rPr>
          <w:i/>
          <w:iCs/>
        </w:rPr>
        <w:t xml:space="preserve">Knowledge</w:t>
      </w:r>
      <w:r>
        <w:rPr>
          <w:i/>
          <w:iCs/>
        </w:rPr>
        <w:t xml:space="preserve"> </w:t>
      </w:r>
      <w:r>
        <w:rPr>
          <w:i/>
          <w:iCs/>
        </w:rPr>
        <w:t xml:space="preserve">Graphs</w:t>
      </w:r>
      <w:r>
        <w:t xml:space="preserve">. arXiv.</w:t>
      </w:r>
      <w:r>
        <w:t xml:space="preserve"> </w:t>
      </w:r>
      <w:hyperlink r:id="rId109">
        <w:r>
          <w:rPr>
            <w:rStyle w:val="Hyperlink"/>
          </w:rPr>
          <w:t xml:space="preserve">https://doi.org/10.48550/arXiv.2304.10427</w:t>
        </w:r>
      </w:hyperlink>
      <w:r>
        <w:t xml:space="preserve">.</w:t>
      </w:r>
    </w:p>
    <w:bookmarkEnd w:id="110"/>
    <w:bookmarkStart w:id="112" w:name="ref-velozo_mapping_2024"/>
    <w:p>
      <w:pPr>
        <w:pStyle w:val="Bibliography"/>
      </w:pPr>
      <w:r>
        <w:t xml:space="preserve">Velozo, Bernardo, Clara Carvalho, Rayssa Feitosa, et al. 2024.</w:t>
      </w:r>
      <w:r>
        <w:t xml:space="preserve"> </w:t>
      </w:r>
      <w:r>
        <w:t xml:space="preserve">“Mapping Educational Needs in Bioinformatics in</w:t>
      </w:r>
      <w:r>
        <w:t xml:space="preserve"> </w:t>
      </w:r>
      <w:r>
        <w:t xml:space="preserve">Brazil</w:t>
      </w:r>
      <w:r>
        <w:t xml:space="preserve">: Adapting</w:t>
      </w:r>
      <w:r>
        <w:t xml:space="preserve"> </w:t>
      </w:r>
      <w:r>
        <w:t xml:space="preserve">ISCB</w:t>
      </w:r>
      <w:r>
        <w:t xml:space="preserve"> </w:t>
      </w:r>
      <w:r>
        <w:t xml:space="preserve">3.0 Competencies to a Regional Context.”</w:t>
      </w:r>
      <w:r>
        <w:t xml:space="preserve"> </w:t>
      </w:r>
      <w:r>
        <w:rPr>
          <w:i/>
          <w:iCs/>
        </w:rPr>
        <w:t xml:space="preserve">Bioinformatics Advances</w:t>
      </w:r>
      <w:r>
        <w:t xml:space="preserve"> </w:t>
      </w:r>
      <w:r>
        <w:t xml:space="preserve">5 (1): vbaf311.</w:t>
      </w:r>
      <w:r>
        <w:t xml:space="preserve"> </w:t>
      </w:r>
      <w:hyperlink r:id="rId111">
        <w:r>
          <w:rPr>
            <w:rStyle w:val="Hyperlink"/>
          </w:rPr>
          <w:t xml:space="preserve">https://doi.org/10.1093/bioadv/vbaf311</w:t>
        </w:r>
      </w:hyperlink>
      <w:r>
        <w:t xml:space="preserve">.</w:t>
      </w:r>
    </w:p>
    <w:bookmarkEnd w:id="112"/>
    <w:bookmarkStart w:id="114" w:name="ref-via_ten_2011"/>
    <w:p>
      <w:pPr>
        <w:pStyle w:val="Bibliography"/>
      </w:pPr>
      <w:r>
        <w:t xml:space="preserve">Via, Allegra, Javier De Las Rivas, Teresa K. Attwood, et al. 2011.</w:t>
      </w:r>
      <w:r>
        <w:t xml:space="preserve"> </w:t>
      </w:r>
      <w:r>
        <w:t xml:space="preserve">“Ten</w:t>
      </w:r>
      <w:r>
        <w:t xml:space="preserve"> </w:t>
      </w:r>
      <w:r>
        <w:t xml:space="preserve">Simple</w:t>
      </w:r>
      <w:r>
        <w:t xml:space="preserve"> </w:t>
      </w:r>
      <w:r>
        <w:t xml:space="preserve">Rules</w:t>
      </w:r>
      <w:r>
        <w:t xml:space="preserve"> </w:t>
      </w:r>
      <w:r>
        <w:t xml:space="preserve">for</w:t>
      </w:r>
      <w:r>
        <w:t xml:space="preserve"> </w:t>
      </w:r>
      <w:r>
        <w:t xml:space="preserve">Developing</w:t>
      </w:r>
      <w:r>
        <w:t xml:space="preserve"> </w:t>
      </w:r>
      <w:r>
        <w:t xml:space="preserve">a</w:t>
      </w:r>
      <w:r>
        <w:t xml:space="preserve"> </w:t>
      </w:r>
      <w:r>
        <w:t xml:space="preserve">Short</w:t>
      </w:r>
      <w:r>
        <w:t xml:space="preserve"> </w:t>
      </w:r>
      <w:r>
        <w:t xml:space="preserve">Bioinformatics</w:t>
      </w:r>
      <w:r>
        <w:t xml:space="preserve"> </w:t>
      </w:r>
      <w:r>
        <w:t xml:space="preserve">Training</w:t>
      </w:r>
      <w:r>
        <w:t xml:space="preserve"> </w:t>
      </w:r>
      <w:r>
        <w:t xml:space="preserve">Course</w:t>
      </w:r>
      <w:r>
        <w:t xml:space="preserve">.”</w:t>
      </w:r>
      <w:r>
        <w:t xml:space="preserve"> </w:t>
      </w:r>
      <w:r>
        <w:rPr>
          <w:i/>
          <w:iCs/>
        </w:rPr>
        <w:t xml:space="preserve">PLOS Computational Biology</w:t>
      </w:r>
      <w:r>
        <w:t xml:space="preserve"> </w:t>
      </w:r>
      <w:r>
        <w:t xml:space="preserve">7 (10): e1002245.</w:t>
      </w:r>
      <w:r>
        <w:t xml:space="preserve"> </w:t>
      </w:r>
      <w:hyperlink r:id="rId113">
        <w:r>
          <w:rPr>
            <w:rStyle w:val="Hyperlink"/>
          </w:rPr>
          <w:t xml:space="preserve">https://doi.org/10.1371/journal.pcbi.1002245</w:t>
        </w:r>
      </w:hyperlink>
      <w:r>
        <w:t xml:space="preserve">.</w:t>
      </w:r>
    </w:p>
    <w:bookmarkEnd w:id="114"/>
    <w:bookmarkStart w:id="116" w:name="ref-wang_reimagining_2026"/>
    <w:p>
      <w:pPr>
        <w:pStyle w:val="Bibliography"/>
      </w:pPr>
      <w:r>
        <w:t xml:space="preserve">Wang, Zongran, Liu Mingzhuo, and A. Y. M. Atiquil Islam. 2026.</w:t>
      </w:r>
      <w:r>
        <w:t xml:space="preserve"> </w:t>
      </w:r>
      <w:r>
        <w:t xml:space="preserve">“Reimagining Teacher-</w:t>
      </w:r>
      <w:r>
        <w:t xml:space="preserve">AI</w:t>
      </w:r>
      <w:r>
        <w:t xml:space="preserve"> </w:t>
      </w:r>
      <w:r>
        <w:t xml:space="preserve">Co-Design in Learning Task Design: Trends and Perspectives.”</w:t>
      </w:r>
      <w:r>
        <w:t xml:space="preserve"> </w:t>
      </w:r>
      <w:r>
        <w:rPr>
          <w:i/>
          <w:iCs/>
        </w:rPr>
        <w:t xml:space="preserve">Humanities and Social Sciences Communications</w:t>
      </w:r>
      <w:r>
        <w:t xml:space="preserve"> </w:t>
      </w:r>
      <w:r>
        <w:t xml:space="preserve">13 (1): 757.</w:t>
      </w:r>
      <w:r>
        <w:t xml:space="preserve"> </w:t>
      </w:r>
      <w:hyperlink r:id="rId115">
        <w:r>
          <w:rPr>
            <w:rStyle w:val="Hyperlink"/>
          </w:rPr>
          <w:t xml:space="preserve">https://doi.org/10.1057/s41599-026-06981-y</w:t>
        </w:r>
      </w:hyperlink>
      <w:r>
        <w:t xml:space="preserve">.</w:t>
      </w:r>
    </w:p>
    <w:bookmarkEnd w:id="116"/>
    <w:bookmarkStart w:id="118" w:name="ref-wen_bin_goh_rethinking_2026"/>
    <w:p>
      <w:pPr>
        <w:pStyle w:val="Bibliography"/>
      </w:pPr>
      <w:r>
        <w:t xml:space="preserve">Wen Bin Goh, Wilson, Annikka Polster, Limsoon Wong, and Marija Cvijovic. 2026.</w:t>
      </w:r>
      <w:r>
        <w:t xml:space="preserve"> </w:t>
      </w:r>
      <w:r>
        <w:t xml:space="preserve">“Rethinking Bioinformatics Expertise in the Era of Artificial Intelligence.”</w:t>
      </w:r>
      <w:r>
        <w:t xml:space="preserve"> </w:t>
      </w:r>
      <w:r>
        <w:rPr>
          <w:i/>
          <w:iCs/>
        </w:rPr>
        <w:t xml:space="preserve">Npj Digital Medicine</w:t>
      </w:r>
      <w:r>
        <w:t xml:space="preserve"> </w:t>
      </w:r>
      <w:r>
        <w:t xml:space="preserve">9 (1): 398.</w:t>
      </w:r>
      <w:r>
        <w:t xml:space="preserve"> </w:t>
      </w:r>
      <w:hyperlink r:id="rId117">
        <w:r>
          <w:rPr>
            <w:rStyle w:val="Hyperlink"/>
          </w:rPr>
          <w:t xml:space="preserve">https://doi.org/10.1038/s41746-026-02777-1</w:t>
        </w:r>
      </w:hyperlink>
      <w:r>
        <w:t xml:space="preserve">.</w:t>
      </w:r>
    </w:p>
    <w:bookmarkEnd w:id="118"/>
    <w:bookmarkStart w:id="120" w:name="ref-wenger_analysing_2024"/>
    <w:p>
      <w:pPr>
        <w:pStyle w:val="Bibliography"/>
      </w:pPr>
      <w:r>
        <w:t xml:space="preserve">Wenger, Matilde, and Nadia Lamamra. 2024.</w:t>
      </w:r>
      <w:r>
        <w:t xml:space="preserve"> </w:t>
      </w:r>
      <w:r>
        <w:t xml:space="preserve">“Analysing the Continuing Education Needs of</w:t>
      </w:r>
      <w:r>
        <w:t xml:space="preserve"> </w:t>
      </w:r>
      <w:r>
        <w:t xml:space="preserve">Swiss</w:t>
      </w:r>
      <w:r>
        <w:t xml:space="preserve"> </w:t>
      </w:r>
      <w:r>
        <w:t xml:space="preserve">in-Company Trainers:</w:t>
      </w:r>
      <w:r>
        <w:t xml:space="preserve"> </w:t>
      </w:r>
      <w:r>
        <w:t xml:space="preserve">An</w:t>
      </w:r>
      <w:r>
        <w:t xml:space="preserve"> </w:t>
      </w:r>
      <w:r>
        <w:t xml:space="preserve">Approach Based on the Latent Class Analysis.”</w:t>
      </w:r>
      <w:r>
        <w:t xml:space="preserve"> </w:t>
      </w:r>
      <w:r>
        <w:rPr>
          <w:i/>
          <w:iCs/>
        </w:rPr>
        <w:t xml:space="preserve">Journal of Vocational, Adult and Continuing Education and Training</w:t>
      </w:r>
      <w:r>
        <w:t xml:space="preserve"> </w:t>
      </w:r>
      <w:r>
        <w:t xml:space="preserve">7 (1): 28.</w:t>
      </w:r>
      <w:r>
        <w:t xml:space="preserve"> </w:t>
      </w:r>
      <w:hyperlink r:id="rId119">
        <w:r>
          <w:rPr>
            <w:rStyle w:val="Hyperlink"/>
          </w:rPr>
          <w:t xml:space="preserve">https://doi.org/10.14426/jovacet.v7i1.395</w:t>
        </w:r>
      </w:hyperlink>
      <w:r>
        <w:t xml:space="preserve">.</w:t>
      </w:r>
    </w:p>
    <w:bookmarkEnd w:id="120"/>
    <w:bookmarkStart w:id="122" w:name="ref-wickham_ggplot2_2016"/>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21">
        <w:r>
          <w:rPr>
            <w:rStyle w:val="Hyperlink"/>
          </w:rPr>
          <w:t xml:space="preserve">https://ggplot2.tidyverse.org</w:t>
        </w:r>
      </w:hyperlink>
      <w:r>
        <w:t xml:space="preserve">.</w:t>
      </w:r>
    </w:p>
    <w:bookmarkEnd w:id="122"/>
    <w:bookmarkStart w:id="124" w:name="ref-wickham_dplyr_2026"/>
    <w:p>
      <w:pPr>
        <w:pStyle w:val="Bibliography"/>
      </w:pPr>
      <w:r>
        <w:t xml:space="preserve">Wickham, Hadley, Romain François, Lionel Henry, Kirill Müller, and Davis Vaughan. 2026.</w:t>
      </w:r>
      <w:r>
        <w:t xml:space="preserve"> </w:t>
      </w:r>
      <w:r>
        <w:rPr>
          <w:i/>
          <w:iCs/>
        </w:rPr>
        <w:t xml:space="preserve">Dplyr: A Grammar of Data Manipulation</w:t>
      </w:r>
      <w:r>
        <w:t xml:space="preserve">.</w:t>
      </w:r>
      <w:r>
        <w:t xml:space="preserve"> </w:t>
      </w:r>
      <w:hyperlink r:id="rId123">
        <w:r>
          <w:rPr>
            <w:rStyle w:val="Hyperlink"/>
          </w:rPr>
          <w:t xml:space="preserve">https://doi.org/10.32614/CRAN.package.dplyr</w:t>
        </w:r>
      </w:hyperlink>
      <w:r>
        <w:t xml:space="preserve">.</w:t>
      </w:r>
    </w:p>
    <w:bookmarkEnd w:id="124"/>
    <w:bookmarkStart w:id="126" w:name="ref-williams_international_2023"/>
    <w:p>
      <w:pPr>
        <w:pStyle w:val="Bibliography"/>
      </w:pPr>
      <w:r>
        <w:t xml:space="preserve">Williams, Jason J., Rochelle E. Tractenberg, Bérénice Batut, et al. 2023.</w:t>
      </w:r>
      <w:r>
        <w:t xml:space="preserve"> </w:t>
      </w:r>
      <w:r>
        <w:t xml:space="preserve">“An International Consensus on Effective, Inclusive, and Career-Spanning Short-Format Training in the Life Sciences and Beyond.”</w:t>
      </w:r>
      <w:r>
        <w:t xml:space="preserve"> </w:t>
      </w:r>
      <w:r>
        <w:rPr>
          <w:i/>
          <w:iCs/>
        </w:rPr>
        <w:t xml:space="preserve">PLOS ONE</w:t>
      </w:r>
      <w:r>
        <w:t xml:space="preserve"> </w:t>
      </w:r>
      <w:r>
        <w:t xml:space="preserve">18 (11): e0293879.</w:t>
      </w:r>
      <w:r>
        <w:t xml:space="preserve"> </w:t>
      </w:r>
      <w:hyperlink r:id="rId125">
        <w:r>
          <w:rPr>
            <w:rStyle w:val="Hyperlink"/>
          </w:rPr>
          <w:t xml:space="preserve">https://doi.org/10.1371/journal.pone.0293879</w:t>
        </w:r>
      </w:hyperlink>
      <w:r>
        <w:t xml:space="preserve">.</w:t>
      </w:r>
    </w:p>
    <w:bookmarkEnd w:id="126"/>
    <w:bookmarkStart w:id="128" w:name="ref-wu_unlocking_2024"/>
    <w:p>
      <w:pPr>
        <w:pStyle w:val="Bibliography"/>
      </w:pPr>
      <w:r>
        <w:t xml:space="preserve">Wu, Di, Shuling Zhang, Zhiyuan Ma, Xiao-Guang Yue, and Rebecca Kechen Dong. 2024.</w:t>
      </w:r>
      <w:r>
        <w:t xml:space="preserve"> </w:t>
      </w:r>
      <w:r>
        <w:t xml:space="preserve">“Unlocking</w:t>
      </w:r>
      <w:r>
        <w:t xml:space="preserve"> </w:t>
      </w:r>
      <w:r>
        <w:t xml:space="preserve">Potential</w:t>
      </w:r>
      <w:r>
        <w:t xml:space="preserve">:</w:t>
      </w:r>
      <w:r>
        <w:t xml:space="preserve"> </w:t>
      </w:r>
      <w:r>
        <w:t xml:space="preserve">Key</w:t>
      </w:r>
      <w:r>
        <w:t xml:space="preserve"> </w:t>
      </w:r>
      <w:r>
        <w:t xml:space="preserve">Factors</w:t>
      </w:r>
      <w:r>
        <w:t xml:space="preserve"> </w:t>
      </w:r>
      <w:r>
        <w:t xml:space="preserve">Shaping</w:t>
      </w:r>
      <w:r>
        <w:t xml:space="preserve"> </w:t>
      </w:r>
      <w:r>
        <w:t xml:space="preserve">Undergraduate</w:t>
      </w:r>
      <w:r>
        <w:t xml:space="preserve"> </w:t>
      </w:r>
      <w:r>
        <w:t xml:space="preserve">Self</w:t>
      </w:r>
      <w:r>
        <w:t xml:space="preserve">-</w:t>
      </w:r>
      <w:r>
        <w:t xml:space="preserve">Directed</w:t>
      </w:r>
      <w:r>
        <w:t xml:space="preserve"> </w:t>
      </w:r>
      <w:r>
        <w:t xml:space="preserve">Learning</w:t>
      </w:r>
      <w:r>
        <w:t xml:space="preserve"> </w:t>
      </w:r>
      <w:r>
        <w:t xml:space="preserve">in</w:t>
      </w:r>
      <w:r>
        <w:t xml:space="preserve"> </w:t>
      </w:r>
      <w:r>
        <w:t xml:space="preserve">AI</w:t>
      </w:r>
      <w:r>
        <w:t xml:space="preserve">-</w:t>
      </w:r>
      <w:r>
        <w:t xml:space="preserve">Enhanced</w:t>
      </w:r>
      <w:r>
        <w:t xml:space="preserve"> </w:t>
      </w:r>
      <w:r>
        <w:t xml:space="preserve">Educational</w:t>
      </w:r>
      <w:r>
        <w:t xml:space="preserve"> </w:t>
      </w:r>
      <w:r>
        <w:t xml:space="preserve">Environments</w:t>
      </w:r>
      <w:r>
        <w:t xml:space="preserve">.”</w:t>
      </w:r>
      <w:r>
        <w:t xml:space="preserve"> </w:t>
      </w:r>
      <w:r>
        <w:rPr>
          <w:i/>
          <w:iCs/>
        </w:rPr>
        <w:t xml:space="preserve">Systems</w:t>
      </w:r>
      <w:r>
        <w:t xml:space="preserve"> </w:t>
      </w:r>
      <w:r>
        <w:t xml:space="preserve">12 (9): 332.</w:t>
      </w:r>
      <w:r>
        <w:t xml:space="preserve"> </w:t>
      </w:r>
      <w:hyperlink r:id="rId127">
        <w:r>
          <w:rPr>
            <w:rStyle w:val="Hyperlink"/>
          </w:rPr>
          <w:t xml:space="preserve">https://doi.org/10.3390/systems12090332</w:t>
        </w:r>
      </w:hyperlink>
      <w:r>
        <w:t xml:space="preserve">.</w:t>
      </w:r>
    </w:p>
    <w:bookmarkEnd w:id="128"/>
    <w:bookmarkEnd w:id="129"/>
    <w:bookmarkEnd w:id="130"/>
    <w:sectPr w:rsidR="005D4CD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3F8E04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23763842"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5D4CDA"/>
    <w:rsid w:val="00077158"/>
    <w:rsid w:val="000F22B7"/>
    <w:rsid w:val="00195699"/>
    <w:rsid w:val="00300174"/>
    <w:rsid w:val="005C5B66"/>
    <w:rsid w:val="005D49DB"/>
    <w:rsid w:val="005D4CDA"/>
    <w:rsid w:val="00AB37CD"/>
    <w:rsid w:val="00BA4D16"/>
    <w:rsid w:val="00CE7510"/>
    <w:rsid w:val="00DA6BDB"/>
    <w:rsid w:val="00F863E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E7510"/>
    <w:rPr>
      <w:rFonts w:ascii="Source Sans Pro" w:hAnsi="Source Sans Pro"/>
    </w:rPr>
  </w:style>
  <w:style w:styleId="Heading1" w:type="paragraph">
    <w:name w:val="heading 1"/>
    <w:basedOn w:val="Normal"/>
    <w:next w:val="BodyText"/>
    <w:link w:val="Heading1Char"/>
    <w:uiPriority w:val="9"/>
    <w:qFormat/>
    <w:rsid w:val="00F863E5"/>
    <w:pPr>
      <w:keepNext/>
      <w:keepLines/>
      <w:spacing w:after="80" w:before="360"/>
      <w:outlineLvl w:val="0"/>
    </w:pPr>
    <w:rPr>
      <w:rFonts w:cstheme="majorBidi" w:eastAsiaTheme="majorEastAsia"/>
      <w:sz w:val="40"/>
      <w:szCs w:val="40"/>
    </w:rPr>
  </w:style>
  <w:style w:styleId="Heading2" w:type="paragraph">
    <w:name w:val="heading 2"/>
    <w:basedOn w:val="Normal"/>
    <w:next w:val="BodyText"/>
    <w:link w:val="Heading2Char"/>
    <w:uiPriority w:val="9"/>
    <w:unhideWhenUsed/>
    <w:qFormat/>
    <w:rsid w:val="00F863E5"/>
    <w:pPr>
      <w:keepNext/>
      <w:keepLines/>
      <w:spacing w:after="80" w:before="160"/>
      <w:outlineLvl w:val="1"/>
    </w:pPr>
    <w:rPr>
      <w:rFonts w:cstheme="majorBidi" w:eastAsiaTheme="majorEastAsia"/>
      <w:sz w:val="32"/>
      <w:szCs w:val="32"/>
    </w:rPr>
  </w:style>
  <w:style w:styleId="Heading3" w:type="paragraph">
    <w:name w:val="heading 3"/>
    <w:basedOn w:val="Normal"/>
    <w:next w:val="BodyText"/>
    <w:link w:val="Heading3Char"/>
    <w:uiPriority w:val="9"/>
    <w:unhideWhenUsed/>
    <w:qFormat/>
    <w:rsid w:val="00F863E5"/>
    <w:pPr>
      <w:keepNext/>
      <w:keepLines/>
      <w:spacing w:after="80" w:before="160"/>
      <w:outlineLvl w:val="2"/>
    </w:pPr>
    <w:rPr>
      <w:rFonts w:cstheme="majorBidi" w:eastAsiaTheme="majorEastAsia"/>
      <w:sz w:val="28"/>
      <w:szCs w:val="28"/>
    </w:rPr>
  </w:style>
  <w:style w:styleId="Heading4" w:type="paragraph">
    <w:name w:val="heading 4"/>
    <w:basedOn w:val="Normal"/>
    <w:next w:val="BodyText"/>
    <w:link w:val="Heading4Char"/>
    <w:uiPriority w:val="9"/>
    <w:unhideWhenUsed/>
    <w:qFormat/>
    <w:rsid w:val="00F863E5"/>
    <w:pPr>
      <w:keepNext/>
      <w:keepLines/>
      <w:spacing w:after="40" w:before="80"/>
      <w:outlineLvl w:val="3"/>
    </w:pPr>
    <w:rPr>
      <w:rFonts w:cstheme="majorBidi" w:eastAsiaTheme="majorEastAsia"/>
      <w:i/>
      <w:iCs/>
    </w:rPr>
  </w:style>
  <w:style w:styleId="Heading5" w:type="paragraph">
    <w:name w:val="heading 5"/>
    <w:basedOn w:val="Normal"/>
    <w:next w:val="BodyText"/>
    <w:link w:val="Heading5Char"/>
    <w:uiPriority w:val="9"/>
    <w:unhideWhenUsed/>
    <w:qFormat/>
    <w:rsid w:val="00F863E5"/>
    <w:pPr>
      <w:keepNext/>
      <w:keepLines/>
      <w:spacing w:after="40" w:before="80"/>
      <w:outlineLvl w:val="4"/>
    </w:pPr>
    <w:rPr>
      <w:rFonts w:cstheme="majorBidi" w:eastAsiaTheme="majorEastAsia"/>
    </w:rPr>
  </w:style>
  <w:style w:styleId="Heading6" w:type="paragraph">
    <w:name w:val="heading 6"/>
    <w:basedOn w:val="Normal"/>
    <w:next w:val="BodyText"/>
    <w:link w:val="Heading6Char"/>
    <w:uiPriority w:val="9"/>
    <w:unhideWhenUsed/>
    <w:qFormat/>
    <w:rsid w:val="00DA6BDB"/>
    <w:pPr>
      <w:keepNext/>
      <w:keepLines/>
      <w:spacing w:after="0" w:before="40"/>
      <w:outlineLvl w:val="5"/>
    </w:pPr>
    <w:rPr>
      <w:rFonts w:cstheme="majorBidi" w:eastAsiaTheme="majorEastAsia"/>
      <w:i/>
      <w:iCs/>
    </w:rPr>
  </w:style>
  <w:style w:styleId="Heading7" w:type="paragraph">
    <w:name w:val="heading 7"/>
    <w:basedOn w:val="Normal"/>
    <w:next w:val="BodyText"/>
    <w:link w:val="Heading7Char"/>
    <w:uiPriority w:val="9"/>
    <w:unhideWhenUsed/>
    <w:qFormat/>
    <w:rsid w:val="00DA6BDB"/>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unhideWhenUsed/>
    <w:qFormat/>
    <w:rsid w:val="00DA6BDB"/>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unhideWhenUsed/>
    <w:qFormat/>
    <w:rsid w:val="00DA6BDB"/>
    <w:pPr>
      <w:keepNext/>
      <w:keepLines/>
      <w:spacing w:after="0"/>
      <w:outlineLvl w:val="8"/>
    </w:pPr>
    <w:rPr>
      <w:rFonts w:cstheme="majorBidi" w:eastAsiaTheme="majorEastAsia"/>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E7510"/>
    <w:pPr>
      <w:spacing w:after="180" w:before="180"/>
    </w:pPr>
    <w:rPr>
      <w:color w:val="373A3C"/>
      <w:shd w:color="auto" w:fill="FFFFFF" w:val="clear"/>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Heading1"/>
    <w:next w:val="BodyText"/>
    <w:link w:val="TitleChar"/>
    <w:uiPriority w:val="10"/>
    <w:qFormat/>
    <w:rsid w:val="00F863E5"/>
    <w:pPr>
      <w:shd w:color="auto" w:fill="FFFFFF" w:val="clear"/>
      <w:spacing w:after="0" w:before="0"/>
    </w:pPr>
    <w:rPr>
      <w:b/>
      <w:bCs/>
      <w:color w:val="373A3C"/>
    </w:rPr>
  </w:style>
  <w:style w:customStyle="1" w:styleId="TitleChar" w:type="character">
    <w:name w:val="Title Char"/>
    <w:basedOn w:val="DefaultParagraphFont"/>
    <w:link w:val="Title"/>
    <w:uiPriority w:val="10"/>
    <w:rsid w:val="00F863E5"/>
    <w:rPr>
      <w:rFonts w:ascii="Source Sans Pro" w:cstheme="majorBidi" w:eastAsiaTheme="majorEastAsia" w:hAnsi="Source Sans Pro"/>
      <w:b/>
      <w:bCs/>
      <w:color w:val="373A3C"/>
      <w:sz w:val="40"/>
      <w:szCs w:val="40"/>
      <w:shd w:color="auto" w:fill="FFFFFF" w:val="clear"/>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Pr>
      <w:sz w:val="24"/>
      <w:szCs w:val="24"/>
    </w:rPr>
  </w:style>
  <w:style w:styleId="Date" w:type="paragraph">
    <w:name w:val="Date"/>
    <w:basedOn w:val="Title"/>
    <w:next w:val="BodyText"/>
    <w:qFormat/>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FirstParagraph"/>
    <w:next w:val="BodyText"/>
    <w:qFormat/>
    <w:rsid w:val="005D49DB"/>
    <w:rPr>
      <w:sz w:val="22"/>
      <w:szCs w:val="22"/>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63E5"/>
    <w:rPr>
      <w:rFonts w:ascii="Source Sans Pro" w:cstheme="majorBidi" w:eastAsiaTheme="majorEastAsia" w:hAnsi="Source Sans Pro"/>
      <w:sz w:val="40"/>
      <w:szCs w:val="40"/>
    </w:rPr>
  </w:style>
  <w:style w:customStyle="1" w:styleId="Heading2Char" w:type="character">
    <w:name w:val="Heading 2 Char"/>
    <w:basedOn w:val="DefaultParagraphFont"/>
    <w:link w:val="Heading2"/>
    <w:uiPriority w:val="9"/>
    <w:rsid w:val="00F863E5"/>
    <w:rPr>
      <w:rFonts w:ascii="Source Sans Pro" w:cstheme="majorBidi" w:eastAsiaTheme="majorEastAsia" w:hAnsi="Source Sans Pro"/>
      <w:sz w:val="32"/>
      <w:szCs w:val="32"/>
    </w:rPr>
  </w:style>
  <w:style w:customStyle="1" w:styleId="Heading3Char" w:type="character">
    <w:name w:val="Heading 3 Char"/>
    <w:basedOn w:val="DefaultParagraphFont"/>
    <w:link w:val="Heading3"/>
    <w:uiPriority w:val="9"/>
    <w:rsid w:val="00F863E5"/>
    <w:rPr>
      <w:rFonts w:ascii="Source Sans Pro" w:cstheme="majorBidi" w:eastAsiaTheme="majorEastAsia" w:hAnsi="Source Sans Pro"/>
      <w:sz w:val="28"/>
      <w:szCs w:val="28"/>
    </w:rPr>
  </w:style>
  <w:style w:customStyle="1" w:styleId="Heading4Char" w:type="character">
    <w:name w:val="Heading 4 Char"/>
    <w:basedOn w:val="DefaultParagraphFont"/>
    <w:link w:val="Heading4"/>
    <w:uiPriority w:val="9"/>
    <w:rsid w:val="00F863E5"/>
    <w:rPr>
      <w:rFonts w:ascii="Source Sans Pro" w:cstheme="majorBidi" w:eastAsiaTheme="majorEastAsia" w:hAnsi="Source Sans Pro"/>
      <w:i/>
      <w:iCs/>
    </w:rPr>
  </w:style>
  <w:style w:customStyle="1" w:styleId="Heading5Char" w:type="character">
    <w:name w:val="Heading 5 Char"/>
    <w:basedOn w:val="DefaultParagraphFont"/>
    <w:link w:val="Heading5"/>
    <w:uiPriority w:val="9"/>
    <w:rsid w:val="00F863E5"/>
    <w:rPr>
      <w:rFonts w:ascii="Source Sans Pro" w:cstheme="majorBidi" w:eastAsiaTheme="majorEastAsia" w:hAnsi="Source Sans Pro"/>
    </w:rPr>
  </w:style>
  <w:style w:customStyle="1" w:styleId="Heading6Char" w:type="character">
    <w:name w:val="Heading 6 Char"/>
    <w:basedOn w:val="DefaultParagraphFont"/>
    <w:link w:val="Heading6"/>
    <w:uiPriority w:val="9"/>
    <w:rsid w:val="00DA6BDB"/>
    <w:rPr>
      <w:rFonts w:cstheme="majorBidi" w:eastAsiaTheme="majorEastAsia"/>
      <w:i/>
      <w:iCs/>
    </w:rPr>
  </w:style>
  <w:style w:customStyle="1" w:styleId="Heading7Char" w:type="character">
    <w:name w:val="Heading 7 Char"/>
    <w:basedOn w:val="DefaultParagraphFont"/>
    <w:link w:val="Heading7"/>
    <w:uiPriority w:val="9"/>
    <w:rsid w:val="00DA6BDB"/>
    <w:rPr>
      <w:rFonts w:cstheme="majorBidi" w:eastAsiaTheme="majorEastAsia"/>
    </w:rPr>
  </w:style>
  <w:style w:customStyle="1" w:styleId="Heading8Char" w:type="character">
    <w:name w:val="Heading 8 Char"/>
    <w:basedOn w:val="DefaultParagraphFont"/>
    <w:link w:val="Heading8"/>
    <w:uiPriority w:val="9"/>
    <w:rsid w:val="00DA6BDB"/>
    <w:rPr>
      <w:rFonts w:cstheme="majorBidi" w:eastAsiaTheme="majorEastAsia"/>
      <w:i/>
      <w:iCs/>
    </w:rPr>
  </w:style>
  <w:style w:customStyle="1" w:styleId="Heading9Char" w:type="character">
    <w:name w:val="Heading 9 Char"/>
    <w:basedOn w:val="DefaultParagraphFont"/>
    <w:link w:val="Heading9"/>
    <w:uiPriority w:val="9"/>
    <w:rsid w:val="00DA6BDB"/>
    <w:rPr>
      <w:rFonts w:cstheme="majorBidi" w:eastAsiaTheme="majorEastAsia"/>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5C5B66"/>
    <w:pPr>
      <w:keepNext/>
    </w:pPr>
  </w:style>
  <w:style w:customStyle="1" w:styleId="ImageCaption" w:type="paragraph">
    <w:name w:val="Image Caption"/>
    <w:basedOn w:val="Caption"/>
    <w:rsid w:val="005C5B66"/>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hyperlink" Id="rId101"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91"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7" Target="https://doi.org/10.1038/s41597-022-01325-2" TargetMode="External" /><Relationship Type="http://schemas.openxmlformats.org/officeDocument/2006/relationships/hyperlink" Id="rId117"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9"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5" Target="https://doi.org/10.1057/s41599-026-06981-y" TargetMode="External" /><Relationship Type="http://schemas.openxmlformats.org/officeDocument/2006/relationships/hyperlink" Id="rId77"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11"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5" Target="https://doi.org/10.1111/spc3.12265" TargetMode="External" /><Relationship Type="http://schemas.openxmlformats.org/officeDocument/2006/relationships/hyperlink" Id="rId85" Target="https://doi.org/10.1145/3747588" TargetMode="External" /><Relationship Type="http://schemas.openxmlformats.org/officeDocument/2006/relationships/hyperlink" Id="rId95" Target="https://doi.org/10.1177/002224378302000204" TargetMode="External" /><Relationship Type="http://schemas.openxmlformats.org/officeDocument/2006/relationships/hyperlink" Id="rId81" Target="https://doi.org/10.1177/0192512114541562" TargetMode="External" /><Relationship Type="http://schemas.openxmlformats.org/officeDocument/2006/relationships/hyperlink" Id="rId113" Target="https://doi.org/10.1371/journal.pcbi.1002245" TargetMode="External" /><Relationship Type="http://schemas.openxmlformats.org/officeDocument/2006/relationships/hyperlink" Id="rId125" Target="https://doi.org/10.1371/journal.pone.0293879" TargetMode="External" /><Relationship Type="http://schemas.openxmlformats.org/officeDocument/2006/relationships/hyperlink" Id="rId119" Target="https://doi.org/10.14426/jovacet.v7i1.395" TargetMode="External" /><Relationship Type="http://schemas.openxmlformats.org/officeDocument/2006/relationships/hyperlink" Id="rId99" Target="https://doi.org/10.1590/1678-4685-gmb-2021-0354" TargetMode="External" /><Relationship Type="http://schemas.openxmlformats.org/officeDocument/2006/relationships/hyperlink" Id="rId83" Target="https://doi.org/10.2196/13423" TargetMode="External" /><Relationship Type="http://schemas.openxmlformats.org/officeDocument/2006/relationships/hyperlink" Id="rId123" Target="https://doi.org/10.32614/CRAN.package.dplyr" TargetMode="External" /><Relationship Type="http://schemas.openxmlformats.org/officeDocument/2006/relationships/hyperlink" Id="rId75" Target="https://doi.org/10.3389/feduc.2019.00092" TargetMode="External" /><Relationship Type="http://schemas.openxmlformats.org/officeDocument/2006/relationships/hyperlink" Id="rId103"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93" Target="https://doi.org/10.3389/feduc.2023.1334153" TargetMode="External" /><Relationship Type="http://schemas.openxmlformats.org/officeDocument/2006/relationships/hyperlink" Id="rId127" Target="https://doi.org/10.3390/systems12090332" TargetMode="External" /><Relationship Type="http://schemas.openxmlformats.org/officeDocument/2006/relationships/hyperlink" Id="rId109"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7" Target="https://doi.org/10.55640/ijbms-04-08-03" TargetMode="External" /><Relationship Type="http://schemas.openxmlformats.org/officeDocument/2006/relationships/hyperlink" Id="rId79" Target="https://doi.org/10.64898/2026.04.14.718420" TargetMode="External" /><Relationship Type="http://schemas.openxmlformats.org/officeDocument/2006/relationships/hyperlink" Id="rId121" Target="https://ggplot2.tidyverse.org" TargetMode="External" /><Relationship Type="http://schemas.openxmlformats.org/officeDocument/2006/relationships/hyperlink" Id="rId9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91"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7" Target="https://doi.org/10.1038/s41597-022-01325-2" TargetMode="External" /><Relationship Type="http://schemas.openxmlformats.org/officeDocument/2006/relationships/hyperlink" Id="rId117"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9"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5" Target="https://doi.org/10.1057/s41599-026-06981-y" TargetMode="External" /><Relationship Type="http://schemas.openxmlformats.org/officeDocument/2006/relationships/hyperlink" Id="rId77"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11"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5" Target="https://doi.org/10.1111/spc3.12265" TargetMode="External" /><Relationship Type="http://schemas.openxmlformats.org/officeDocument/2006/relationships/hyperlink" Id="rId85" Target="https://doi.org/10.1145/3747588" TargetMode="External" /><Relationship Type="http://schemas.openxmlformats.org/officeDocument/2006/relationships/hyperlink" Id="rId95" Target="https://doi.org/10.1177/002224378302000204" TargetMode="External" /><Relationship Type="http://schemas.openxmlformats.org/officeDocument/2006/relationships/hyperlink" Id="rId81" Target="https://doi.org/10.1177/0192512114541562" TargetMode="External" /><Relationship Type="http://schemas.openxmlformats.org/officeDocument/2006/relationships/hyperlink" Id="rId113" Target="https://doi.org/10.1371/journal.pcbi.1002245" TargetMode="External" /><Relationship Type="http://schemas.openxmlformats.org/officeDocument/2006/relationships/hyperlink" Id="rId125" Target="https://doi.org/10.1371/journal.pone.0293879" TargetMode="External" /><Relationship Type="http://schemas.openxmlformats.org/officeDocument/2006/relationships/hyperlink" Id="rId119" Target="https://doi.org/10.14426/jovacet.v7i1.395" TargetMode="External" /><Relationship Type="http://schemas.openxmlformats.org/officeDocument/2006/relationships/hyperlink" Id="rId99" Target="https://doi.org/10.1590/1678-4685-gmb-2021-0354" TargetMode="External" /><Relationship Type="http://schemas.openxmlformats.org/officeDocument/2006/relationships/hyperlink" Id="rId83" Target="https://doi.org/10.2196/13423" TargetMode="External" /><Relationship Type="http://schemas.openxmlformats.org/officeDocument/2006/relationships/hyperlink" Id="rId123" Target="https://doi.org/10.32614/CRAN.package.dplyr" TargetMode="External" /><Relationship Type="http://schemas.openxmlformats.org/officeDocument/2006/relationships/hyperlink" Id="rId75" Target="https://doi.org/10.3389/feduc.2019.00092" TargetMode="External" /><Relationship Type="http://schemas.openxmlformats.org/officeDocument/2006/relationships/hyperlink" Id="rId103"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93" Target="https://doi.org/10.3389/feduc.2023.1334153" TargetMode="External" /><Relationship Type="http://schemas.openxmlformats.org/officeDocument/2006/relationships/hyperlink" Id="rId127" Target="https://doi.org/10.3390/systems12090332" TargetMode="External" /><Relationship Type="http://schemas.openxmlformats.org/officeDocument/2006/relationships/hyperlink" Id="rId109"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7" Target="https://doi.org/10.55640/ijbms-04-08-03" TargetMode="External" /><Relationship Type="http://schemas.openxmlformats.org/officeDocument/2006/relationships/hyperlink" Id="rId79" Target="https://doi.org/10.64898/2026.04.14.718420" TargetMode="External" /><Relationship Type="http://schemas.openxmlformats.org/officeDocument/2006/relationships/hyperlink" Id="rId121" Target="https://ggplot2.tidyverse.org" TargetMode="External" /><Relationship Type="http://schemas.openxmlformats.org/officeDocument/2006/relationships/hyperlink" Id="rId9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Characterization of heterogeneous bioinformatics training needs in the AI era</dc:title>
  <dc:creator>Geert van Geest, Valeria Di Cola, Monique Zahn, Diana Marek, Gregoire Rossier, Wandrille Duchemin, Tania Wyss, Joana Carlevaro-Fita, Deepak Tanwar, Marion Vaucher, Patricia M. Palagi</dc:creator>
  <cp:keywords/>
  <dcterms:created xsi:type="dcterms:W3CDTF">2026-07-24T14:19:51Z</dcterms:created>
  <dcterms:modified xsi:type="dcterms:W3CDTF">2026-07-24T14:19:51Z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preferences.Methods: We analyzed 260 responses collected over 6 weeks (March-April 2026), including Likert-type ratings for training topics, participation barriers, and preferred course formats, as well as demographic variables. Responses were analyzed as a single group and as clusters. For cluster analysis, respondents were represented as nodes in a correlation network built from course-topic ratings and Louvain community detection was applied to identify clusters. Each cluster was then characterized as a learner profile using topic priorities, barriers, format preferences, and demographics.Results: Respondents indicated their need for training across a total of 33 possible course topics. Four of the possible topics related to AI/LLM skills and all of them were in the top six of most needed topics. Other than AI, reproducible data practices and computational methods were in high demand. Concerning course formats,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preferences.Conclusions: There is a clear need for skills in AI and reproducible research, and respondents favored formats involving human interaction. Network-based clustering revealed actionable training-need heterogeneity that is not captured by demographic stratification alone. Integrating these learner profiles into curriculum design can improve identification of course topics, format selection, and barrier mitigation, supporting more effective and responsive bioinformatics training programs, particularly in the context of AI and emerging technologies.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