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Enrichment analysis</w:t>
      </w:r>
    </w:p>
    <w:bookmarkStart w:id="28" w:name="material"/>
    <w:p>
      <w:pPr>
        <w:pStyle w:val="Heading2"/>
      </w:pPr>
      <w:r>
        <w:t xml:space="preserve">Material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MSigDB</w:t>
        </w:r>
      </w:hyperlink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clusterProfiler</w:t>
      </w:r>
      <w:r>
        <w:t xml:space="preserve"> </w:t>
      </w:r>
      <w:hyperlink r:id="rId21">
        <w:r>
          <w:rPr>
            <w:rStyle w:val="Hyperlink"/>
          </w:rPr>
          <w:t xml:space="preserve">vignette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Revigo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Signaling Pathway Impact Analysis (SPIA)</w:t>
        </w:r>
      </w:hyperlink>
    </w:p>
    <w:p>
      <w:pPr>
        <w:pStyle w:val="Compact"/>
        <w:numPr>
          <w:ilvl w:val="0"/>
          <w:numId w:val="1001"/>
        </w:numPr>
      </w:pPr>
      <w:r>
        <w:t xml:space="preserve">Original</w:t>
      </w:r>
      <w:r>
        <w:t xml:space="preserve"> </w:t>
      </w:r>
      <w:hyperlink r:id="rId24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on GSEA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for protein-protein interactions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GO figure!</w:t>
        </w:r>
      </w:hyperlink>
      <w:r>
        <w:t xml:space="preserve"> </w:t>
      </w:r>
      <w:r>
        <w:t xml:space="preserve">for plotting GO terms and the associated</w:t>
      </w:r>
      <w:r>
        <w:t xml:space="preserve"> </w:t>
      </w:r>
      <w:hyperlink r:id="rId27">
        <w:r>
          <w:rPr>
            <w:rStyle w:val="Hyperlink"/>
          </w:rPr>
          <w:t xml:space="preserve">paper</w:t>
        </w:r>
      </w:hyperlink>
    </w:p>
    <w:bookmarkEnd w:id="28"/>
    <w:bookmarkStart w:id="29" w:name="exercises"/>
    <w:p>
      <w:pPr>
        <w:pStyle w:val="Heading2"/>
      </w:pPr>
      <w:r>
        <w:t xml:space="preserve">Exercises</w:t>
      </w:r>
    </w:p>
    <w:p>
      <w:pPr>
        <w:pStyle w:val="FirstParagraph"/>
      </w:pPr>
      <w:r>
        <w:t xml:space="preserve">Load the following packages: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FindMarkers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FindAllMarkers</w:t>
      </w:r>
      <w:r>
        <w:t xml:space="preserve"> </w:t>
      </w:r>
      <w:r>
        <w:t xml:space="preserve">functions were used,</w:t>
      </w:r>
      <w:r>
        <w:t xml:space="preserve"> </w:t>
      </w:r>
      <w:r>
        <w:t xml:space="preserve">we obtained a table listing only the significant genes,</w:t>
      </w:r>
      <w:r>
        <w:t xml:space="preserve"> </w:t>
      </w:r>
      <w:r>
        <w:t xml:space="preserve">but we don’t have any information of fold change for the non-significant</w:t>
      </w:r>
      <w:r>
        <w:t xml:space="preserve"> </w:t>
      </w:r>
      <w:r>
        <w:t xml:space="preserve">genes. Therefore, we can use the over-representation analysis</w:t>
      </w:r>
      <w:r>
        <w:t xml:space="preserve"> </w:t>
      </w:r>
      <w:r>
        <w:t xml:space="preserve">which is a threshold-based method.</w:t>
      </w:r>
      <w:r>
        <w:t xml:space="preserve"> </w:t>
      </w:r>
      <w:r>
        <w:t xml:space="preserve">Using our list of significant genes, we can test</w:t>
      </w:r>
      <w:r>
        <w:t xml:space="preserve"> </w:t>
      </w:r>
      <w:r>
        <w:t xml:space="preserve">if any gene set is over-represented among significant genes or not using a test</w:t>
      </w:r>
      <w:r>
        <w:t xml:space="preserve"> </w:t>
      </w:r>
      <w:r>
        <w:t xml:space="preserve">similar to a Fisher test to compare differences in proportions.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clusterProfiler</w:t>
      </w:r>
      <w:r>
        <w:t xml:space="preserve"> </w:t>
      </w:r>
      <w:r>
        <w:t xml:space="preserve">package provides functions for over-representation</w:t>
      </w:r>
      <w:r>
        <w:t xml:space="preserve"> </w:t>
      </w:r>
      <w:r>
        <w:t xml:space="preserve">analysis of Gene Ontology gene sets (among other functions, including functions for actual GSEA) or KEGG gene sets.</w:t>
      </w:r>
    </w:p>
    <w:p>
      <w:pPr>
        <w:pStyle w:val="BodyText"/>
      </w:pPr>
      <w:r>
        <w:t xml:space="preserve">Genes can be labeled using different types of labels, eg</w:t>
      </w:r>
      <w:r>
        <w:t xml:space="preserve"> </w:t>
      </w:r>
      <w:r>
        <w:t xml:space="preserve">symbol, Ensembl ID, Entrez ID. To list the allowed</w:t>
      </w:r>
      <w:r>
        <w:t xml:space="preserve"> </w:t>
      </w:r>
      <w:r>
        <w:t xml:space="preserve">label types use:</w:t>
      </w:r>
    </w:p>
    <w:bookmarkEnd w:id="29"/>
    <w:bookmarkStart w:id="31" w:name="about-orgdb"/>
    <w:p>
      <w:pPr>
        <w:pStyle w:val="Heading2"/>
      </w:pPr>
      <w:r>
        <w:t xml:space="preserve">About OrgDb</w:t>
      </w:r>
    </w:p>
    <w:p>
      <w:pPr>
        <w:pStyle w:val="FirstParagraph"/>
      </w:pPr>
      <w:r>
        <w:t xml:space="preserve">For other organisms, you can find available OrgDbs at</w:t>
      </w:r>
      <w:r>
        <w:t xml:space="preserve"> </w:t>
      </w:r>
      <w:hyperlink r:id="rId30">
        <w:r>
          <w:rPr>
            <w:rStyle w:val="Hyperlink"/>
          </w:rPr>
          <w:t xml:space="preserve">bioconductor</w:t>
        </w:r>
      </w:hyperlink>
    </w:p>
    <w:bookmarkEnd w:id="31"/>
    <w:p>
      <w:pPr>
        <w:pStyle w:val="BodyText"/>
      </w:pPr>
      <w:r>
        <w:t xml:space="preserve">Let’s select a set of genes that are downregulated in the tumor cells compared to normal:</w:t>
      </w:r>
    </w:p>
    <w:p>
      <w:pPr>
        <w:pStyle w:val="BodyText"/>
      </w:pPr>
      <w:r>
        <w:t xml:space="preserve">We can do a Gene Ontology term over-representation analysis based on this set of genes. Make sure you check out the help of this function to understand its arguments:</w:t>
      </w:r>
    </w:p>
    <w:p>
      <w:pPr>
        <w:pStyle w:val="BodyText"/>
      </w:pPr>
      <w:r>
        <w:t xml:space="preserve">The results are stored in the</w:t>
      </w:r>
      <w:r>
        <w:t xml:space="preserve"> </w:t>
      </w:r>
      <w:r>
        <w:rPr>
          <w:rStyle w:val="VerbatimChar"/>
        </w:rPr>
        <w:t xml:space="preserve">@result</w:t>
      </w:r>
      <w:r>
        <w:t xml:space="preserve"> </w:t>
      </w:r>
      <w:r>
        <w:t xml:space="preserve">slot: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columns</w:t>
            </w:r>
            <w:r>
              <w:t xml:space="preserve"> </w:t>
            </w:r>
            <w:r>
              <w:rPr>
                <w:rStyle w:val="VerbatimChar"/>
              </w:rPr>
              <w:t xml:space="preserve">GeneRatio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BgRatio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columns</w:t>
            </w:r>
            <w:r>
              <w:t xml:space="preserve"> </w:t>
            </w:r>
            <w:r>
              <w:rPr>
                <w:rStyle w:val="VerbatimChar"/>
              </w:rPr>
              <w:t xml:space="preserve">GeneRatio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BgRatio</w:t>
            </w:r>
            <w:r>
              <w:t xml:space="preserve"> </w:t>
            </w:r>
            <w:r>
              <w:t xml:space="preserve">that are in the</w:t>
            </w:r>
            <w:r>
              <w:t xml:space="preserve"> </w:t>
            </w:r>
            <w:r>
              <w:rPr>
                <w:rStyle w:val="VerbatimChar"/>
              </w:rPr>
              <w:t xml:space="preserve">enrichResult</w:t>
            </w:r>
            <w:r>
              <w:t xml:space="preserve"> </w:t>
            </w:r>
            <w:r>
              <w:t xml:space="preserve">object represent the numbers that are used as input for the Fisher’s exact test.</w:t>
            </w:r>
          </w:p>
          <w:p>
            <w:pPr>
              <w:pStyle w:val="BodyText"/>
            </w:pPr>
            <w:r>
              <w:t xml:space="preserve">The two numbers (M/N) in the</w:t>
            </w:r>
            <w:r>
              <w:t xml:space="preserve"> </w:t>
            </w:r>
            <w:r>
              <w:rPr>
                <w:rStyle w:val="VerbatimChar"/>
              </w:rPr>
              <w:t xml:space="preserve">GeneRatio</w:t>
            </w:r>
            <w:r>
              <w:t xml:space="preserve"> </w:t>
            </w:r>
            <w:r>
              <w:t xml:space="preserve">column are: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M: Number of genes of interest (in our case</w:t>
            </w:r>
            <w:r>
              <w:t xml:space="preserve"> </w:t>
            </w:r>
            <w:r>
              <w:rPr>
                <w:rStyle w:val="VerbatimChar"/>
              </w:rPr>
              <w:t xml:space="preserve">tum_down_genes</w:t>
            </w:r>
            <w:r>
              <w:t xml:space="preserve">) that are in the GO set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N: Number of genes of interest with any GO annoation.</w:t>
            </w:r>
          </w:p>
          <w:p>
            <w:pPr>
              <w:pStyle w:val="FirstParagraph"/>
            </w:pPr>
            <w:r>
              <w:t xml:space="preserve">The two numbers (k/n) in the</w:t>
            </w:r>
            <w:r>
              <w:t xml:space="preserve"> </w:t>
            </w:r>
            <w:r>
              <w:rPr>
                <w:rStyle w:val="VerbatimChar"/>
              </w:rPr>
              <w:t xml:space="preserve">BgRatio</w:t>
            </w:r>
            <w:r>
              <w:t xml:space="preserve"> </w:t>
            </w:r>
            <w:r>
              <w:t xml:space="preserve">column are: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k: Number of genes in the universe that are in the GO set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n: Number of genes in the universe with any GO annoation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A low p-value resulting from the Fisher’s exact means that M/N is signficantly greater than k/n. </w:t>
            </w:r>
          </w:p>
        </w:tc>
      </w:tr>
    </w:tbl>
    <w:p>
      <w:pPr>
        <w:pStyle w:val="BodyText"/>
      </w:pPr>
      <w:r>
        <w:t xml:space="preserve">Some GO terms seem redundant because they contain many of the same genes, which is a characteristic of Gene Ontology gene sets. We can simplify this list by removing redundant gene sets:</w:t>
      </w:r>
    </w:p>
    <w:p>
      <w:pPr>
        <w:pStyle w:val="BodyText"/>
      </w:pPr>
      <w:r>
        <w:t xml:space="preserve">We can quite easily generate a plot called an enrichment map with the</w:t>
      </w:r>
      <w:r>
        <w:t xml:space="preserve"> </w:t>
      </w:r>
      <w:r>
        <w:rPr>
          <w:rStyle w:val="VerbatimChar"/>
        </w:rPr>
        <w:t xml:space="preserve">enrichplot</w:t>
      </w:r>
      <w:r>
        <w:t xml:space="preserve"> </w:t>
      </w:r>
      <w:r>
        <w:t xml:space="preserve">package:</w:t>
      </w:r>
    </w:p>
    <w:p>
      <w:pPr>
        <w:pStyle w:val="BodyText"/>
      </w:pPr>
      <w:r>
        <w:t xml:space="preserve">Instead of testing for Gene Ontology terms, we can also test for other gene set collections. For example the Hallmark collection from</w:t>
      </w:r>
      <w:r>
        <w:t xml:space="preserve"> </w:t>
      </w:r>
      <w:hyperlink r:id="rId20">
        <w:r>
          <w:rPr>
            <w:rStyle w:val="Hyperlink"/>
          </w:rPr>
          <w:t xml:space="preserve">MSigDB</w:t>
        </w:r>
      </w:hyperlink>
      <w:r>
        <w:t xml:space="preserve">:</w:t>
      </w:r>
    </w:p>
    <w:bookmarkStart w:id="35" w:name="clear-environment"/>
    <w:p>
      <w:pPr>
        <w:pStyle w:val="Heading3"/>
      </w:pPr>
      <w:r>
        <w:t xml:space="preserve">Clear environment</w:t>
      </w:r>
    </w:p>
    <w:p>
      <w:pPr>
        <w:pStyle w:val="FirstParagraph"/>
      </w:pPr>
      <w:r>
        <w:t xml:space="preserve">Clear your environment: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gc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.rs.restartR</w:t>
      </w:r>
      <w:r>
        <w:rPr>
          <w:rStyle w:val="NormalTok"/>
        </w:rPr>
        <w:t xml:space="preserve">()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hyperlink" Id="rId30" Target="http://bioconductor.org/packages/release/BiocViews.html#___OrgDb" TargetMode="External" /><Relationship Type="http://schemas.openxmlformats.org/officeDocument/2006/relationships/hyperlink" Id="rId22" Target="http://revigo.irb.hr/" TargetMode="External" /><Relationship Type="http://schemas.openxmlformats.org/officeDocument/2006/relationships/hyperlink" Id="rId20" Target="http://www.gsea-msigdb.org/gsea/msigdb/index.jsp" TargetMode="External" /><Relationship Type="http://schemas.openxmlformats.org/officeDocument/2006/relationships/hyperlink" Id="rId23" Target="https://bioconductor.org/packages/release/bioc/html/SPIA.html" TargetMode="External" /><Relationship Type="http://schemas.openxmlformats.org/officeDocument/2006/relationships/hyperlink" Id="rId21" Target="https://bioconductor.org/packages/release/bioc/vignettes/clusterProfiler/inst/doc/clusterProfiler.html" TargetMode="External" /><Relationship Type="http://schemas.openxmlformats.org/officeDocument/2006/relationships/hyperlink" Id="rId26" Target="https://gitlab.com/evogenlab/GO-Figure" TargetMode="External" /><Relationship Type="http://schemas.openxmlformats.org/officeDocument/2006/relationships/hyperlink" Id="rId25" Target="https://string-db.org/" TargetMode="External" /><Relationship Type="http://schemas.openxmlformats.org/officeDocument/2006/relationships/hyperlink" Id="rId27" Target="https://www.frontiersin.org/articles/10.3389/fbinf.2021.638255/full" TargetMode="External" /><Relationship Type="http://schemas.openxmlformats.org/officeDocument/2006/relationships/hyperlink" Id="rId24" Target="https://www.pnas.org/content/102/43/1554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bioconductor.org/packages/release/BiocViews.html#___OrgDb" TargetMode="External" /><Relationship Type="http://schemas.openxmlformats.org/officeDocument/2006/relationships/hyperlink" Id="rId22" Target="http://revigo.irb.hr/" TargetMode="External" /><Relationship Type="http://schemas.openxmlformats.org/officeDocument/2006/relationships/hyperlink" Id="rId20" Target="http://www.gsea-msigdb.org/gsea/msigdb/index.jsp" TargetMode="External" /><Relationship Type="http://schemas.openxmlformats.org/officeDocument/2006/relationships/hyperlink" Id="rId23" Target="https://bioconductor.org/packages/release/bioc/html/SPIA.html" TargetMode="External" /><Relationship Type="http://schemas.openxmlformats.org/officeDocument/2006/relationships/hyperlink" Id="rId21" Target="https://bioconductor.org/packages/release/bioc/vignettes/clusterProfiler/inst/doc/clusterProfiler.html" TargetMode="External" /><Relationship Type="http://schemas.openxmlformats.org/officeDocument/2006/relationships/hyperlink" Id="rId26" Target="https://gitlab.com/evogenlab/GO-Figure" TargetMode="External" /><Relationship Type="http://schemas.openxmlformats.org/officeDocument/2006/relationships/hyperlink" Id="rId25" Target="https://string-db.org/" TargetMode="External" /><Relationship Type="http://schemas.openxmlformats.org/officeDocument/2006/relationships/hyperlink" Id="rId27" Target="https://www.frontiersin.org/articles/10.3389/fbinf.2021.638255/full" TargetMode="External" /><Relationship Type="http://schemas.openxmlformats.org/officeDocument/2006/relationships/hyperlink" Id="rId24" Target="https://www.pnas.org/content/102/43/1554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Enrichment analysis</dc:title>
  <dc:creator/>
  <cp:keywords/>
  <dcterms:created xsi:type="dcterms:W3CDTF">2025-06-12T14:17:28Z</dcterms:created>
  <dcterms:modified xsi:type="dcterms:W3CDTF">2025-06-12T14:17:28Z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