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Enrichment analysis</w:t>
      </w:r>
    </w:p>
    <w:bookmarkStart w:id="28" w:name="material"/>
    <w:p>
      <w:pPr>
        <w:pStyle w:val="Heading2"/>
      </w:pPr>
      <w:r>
        <w:t xml:space="preserve">Material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MSigDB</w:t>
        </w:r>
      </w:hyperlink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clusterProfiler</w:t>
      </w:r>
      <w:r>
        <w:t xml:space="preserve"> </w:t>
      </w:r>
      <w:hyperlink r:id="rId21">
        <w:r>
          <w:rPr>
            <w:rStyle w:val="Hyperlink"/>
          </w:rPr>
          <w:t xml:space="preserve">vignette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Revigo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Signaling Pathway Impact Analysis (SPIA)</w:t>
        </w:r>
      </w:hyperlink>
    </w:p>
    <w:p>
      <w:pPr>
        <w:pStyle w:val="Compact"/>
        <w:numPr>
          <w:ilvl w:val="0"/>
          <w:numId w:val="1001"/>
        </w:numPr>
      </w:pPr>
      <w:r>
        <w:t xml:space="preserve">Original</w:t>
      </w:r>
      <w:r>
        <w:t xml:space="preserve"> </w:t>
      </w:r>
      <w:hyperlink r:id="rId24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on GSEA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STRING</w:t>
        </w:r>
      </w:hyperlink>
      <w:r>
        <w:t xml:space="preserve"> </w:t>
      </w:r>
      <w:r>
        <w:t xml:space="preserve">for protein-protein interactions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GO figure!</w:t>
        </w:r>
      </w:hyperlink>
      <w:r>
        <w:t xml:space="preserve"> </w:t>
      </w:r>
      <w:r>
        <w:t xml:space="preserve">for plotting GO terms and the associated</w:t>
      </w:r>
      <w:r>
        <w:t xml:space="preserve"> </w:t>
      </w:r>
      <w:hyperlink r:id="rId27">
        <w:r>
          <w:rPr>
            <w:rStyle w:val="Hyperlink"/>
          </w:rPr>
          <w:t xml:space="preserve">paper</w:t>
        </w:r>
      </w:hyperlink>
    </w:p>
    <w:bookmarkEnd w:id="28"/>
    <w:bookmarkStart w:id="29" w:name="exercises"/>
    <w:p>
      <w:pPr>
        <w:pStyle w:val="Heading2"/>
      </w:pPr>
      <w:r>
        <w:t xml:space="preserve">Exercises</w:t>
      </w:r>
    </w:p>
    <w:p>
      <w:pPr>
        <w:pStyle w:val="FirstParagraph"/>
      </w:pPr>
      <w:r>
        <w:t xml:space="preserve">Load the following packages:</w:t>
      </w:r>
    </w:p>
    <w:p>
      <w:pPr>
        <w:pStyle w:val="Body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FindMarkers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FindAllMarkers</w:t>
      </w:r>
      <w:r>
        <w:t xml:space="preserve"> </w:t>
      </w:r>
      <w:r>
        <w:t xml:space="preserve">functions were used,</w:t>
      </w:r>
      <w:r>
        <w:t xml:space="preserve"> </w:t>
      </w:r>
      <w:r>
        <w:t xml:space="preserve">we obtained a table listing only the significant genes,</w:t>
      </w:r>
      <w:r>
        <w:t xml:space="preserve"> </w:t>
      </w:r>
      <w:r>
        <w:t xml:space="preserve">but we don’t have any information of fold change for the non-significant</w:t>
      </w:r>
      <w:r>
        <w:t xml:space="preserve"> </w:t>
      </w:r>
      <w:r>
        <w:t xml:space="preserve">genes. Therefore, we can use the over-representation analysis</w:t>
      </w:r>
      <w:r>
        <w:t xml:space="preserve"> </w:t>
      </w:r>
      <w:r>
        <w:t xml:space="preserve">which is a threshold-based method.</w:t>
      </w:r>
      <w:r>
        <w:t xml:space="preserve"> </w:t>
      </w:r>
      <w:r>
        <w:t xml:space="preserve">Using our list of significant genes, we can test</w:t>
      </w:r>
      <w:r>
        <w:t xml:space="preserve"> </w:t>
      </w:r>
      <w:r>
        <w:t xml:space="preserve">if any gene set is over-represented among significant genes or not using a test</w:t>
      </w:r>
      <w:r>
        <w:t xml:space="preserve"> </w:t>
      </w:r>
      <w:r>
        <w:t xml:space="preserve">similar to a Fisher test to compare differences in proportions.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clusterProfiler</w:t>
      </w:r>
      <w:r>
        <w:t xml:space="preserve"> </w:t>
      </w:r>
      <w:r>
        <w:t xml:space="preserve">package provides functions for over-representation</w:t>
      </w:r>
      <w:r>
        <w:t xml:space="preserve"> </w:t>
      </w:r>
      <w:r>
        <w:t xml:space="preserve">analysis of Gene Ontology gene sets (among other functions, including functions for actual GSEA) or KEGG gene sets.</w:t>
      </w:r>
    </w:p>
    <w:p>
      <w:pPr>
        <w:pStyle w:val="BodyText"/>
      </w:pPr>
      <w:r>
        <w:t xml:space="preserve">Genes can be labeled using different types of labels, eg</w:t>
      </w:r>
      <w:r>
        <w:t xml:space="preserve"> </w:t>
      </w:r>
      <w:r>
        <w:t xml:space="preserve">symbol, Ensembl ID, Entrez ID. To list the allowed</w:t>
      </w:r>
      <w:r>
        <w:t xml:space="preserve"> </w:t>
      </w:r>
      <w:r>
        <w:t xml:space="preserve">label types use:</w:t>
      </w:r>
    </w:p>
    <w:p>
      <w:pPr>
        <w:pStyle w:val="SourceCode"/>
      </w:pPr>
      <w:r>
        <w:rPr>
          <w:rStyle w:val="CommentTok"/>
        </w:rPr>
        <w:t xml:space="preserve"># BiocManager::install("org.Hs.eg.db", update = FALSE)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(org.Hs.eg.db)</w:t>
      </w:r>
      <w:r>
        <w:br/>
      </w:r>
      <w:r>
        <w:rPr>
          <w:rStyle w:val="NormalTok"/>
        </w:rPr>
        <w:t xml:space="preserve">AnnotationDbi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keytypes</w:t>
      </w:r>
      <w:r>
        <w:rPr>
          <w:rStyle w:val="NormalTok"/>
        </w:rPr>
        <w:t xml:space="preserve">(org.Hs.eg.db)</w:t>
      </w:r>
    </w:p>
    <w:bookmarkEnd w:id="29"/>
    <w:bookmarkStart w:id="31" w:name="about-orgdb"/>
    <w:p>
      <w:pPr>
        <w:pStyle w:val="Heading2"/>
      </w:pPr>
      <w:r>
        <w:t xml:space="preserve">About OrgDb</w:t>
      </w:r>
    </w:p>
    <w:p>
      <w:pPr>
        <w:pStyle w:val="FirstParagraph"/>
      </w:pPr>
      <w:r>
        <w:t xml:space="preserve">For other organisms, you can find available OrgDbs at</w:t>
      </w:r>
      <w:r>
        <w:t xml:space="preserve"> </w:t>
      </w:r>
      <w:hyperlink r:id="rId30">
        <w:r>
          <w:rPr>
            <w:rStyle w:val="Hyperlink"/>
          </w:rPr>
          <w:t xml:space="preserve">bioconductor</w:t>
        </w:r>
      </w:hyperlink>
    </w:p>
    <w:bookmarkEnd w:id="31"/>
    <w:p>
      <w:pPr>
        <w:pStyle w:val="BodyText"/>
      </w:pPr>
      <w:r>
        <w:t xml:space="preserve">Let’s select a set of genes that are downregulated in the tumor cells compared to normal:</w:t>
      </w:r>
    </w:p>
    <w:p>
      <w:pPr>
        <w:pStyle w:val="SourceCode"/>
      </w:pPr>
      <w:r>
        <w:rPr>
          <w:rStyle w:val="NormalTok"/>
        </w:rPr>
        <w:t xml:space="preserve">tum_down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(limma_de,</w:t>
      </w:r>
      <w:r>
        <w:br/>
      </w:r>
      <w:r>
        <w:rPr>
          <w:rStyle w:val="NormalTok"/>
        </w:rPr>
        <w:t xml:space="preserve">                   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logFC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adj.P.Val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tum_down_genes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(tum_down)</w:t>
      </w:r>
    </w:p>
    <w:p>
      <w:pPr>
        <w:pStyle w:val="FirstParagraph"/>
      </w:pPr>
      <w:r>
        <w:t xml:space="preserve">We can do a Gene Ontology term over-representation analysis based on this set of genes. Make sure you check out the help of this function to understand its arguments:</w:t>
      </w:r>
    </w:p>
    <w:p>
      <w:pPr>
        <w:pStyle w:val="SourceCode"/>
      </w:pPr>
      <w:r>
        <w:rPr>
          <w:rStyle w:val="NormalTok"/>
        </w:rPr>
        <w:t xml:space="preserve">?enrichGO</w:t>
      </w:r>
    </w:p>
    <w:p>
      <w:pPr>
        <w:pStyle w:val="SourceCode"/>
      </w:pPr>
      <w:r>
        <w:rPr>
          <w:rStyle w:val="NormalTok"/>
        </w:rPr>
        <w:t xml:space="preserve">tum_vs_norm_go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enrichGO</w:t>
      </w:r>
      <w:r>
        <w:rPr>
          <w:rStyle w:val="NormalTok"/>
        </w:rPr>
        <w:t xml:space="preserve">(tum_down_genes,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StringTok"/>
        </w:rPr>
        <w:t xml:space="preserve">"org.Hs.eg.db"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keyType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ont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minGSSize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results are stored in the</w:t>
      </w:r>
      <w:r>
        <w:t xml:space="preserve"> </w:t>
      </w:r>
      <w:r>
        <w:rPr>
          <w:rStyle w:val="VerbatimChar"/>
        </w:rPr>
        <w:t xml:space="preserve">@result</w:t>
      </w:r>
      <w:r>
        <w:t xml:space="preserve"> </w:t>
      </w:r>
      <w:r>
        <w:t xml:space="preserve">slot: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that are in the</w:t>
            </w:r>
            <w:r>
              <w:t xml:space="preserve"> </w:t>
            </w:r>
            <w:r>
              <w:rPr>
                <w:rStyle w:val="VerbatimChar"/>
              </w:rPr>
              <w:t xml:space="preserve">enrichResult</w:t>
            </w:r>
            <w:r>
              <w:t xml:space="preserve"> </w:t>
            </w:r>
            <w:r>
              <w:t xml:space="preserve">object represent the numbers that are used as input for the Fisher’s exact test.</w:t>
            </w:r>
          </w:p>
          <w:p>
            <w:pPr>
              <w:pStyle w:val="BodyText"/>
            </w:pPr>
            <w:r>
              <w:t xml:space="preserve">The two numbers (M/N) in the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M: Number of genes of interest (in our case</w:t>
            </w:r>
            <w:r>
              <w:t xml:space="preserve"> </w:t>
            </w:r>
            <w:r>
              <w:rPr>
                <w:rStyle w:val="VerbatimChar"/>
              </w:rPr>
              <w:t xml:space="preserve">tum_down_genes</w:t>
            </w:r>
            <w:r>
              <w:t xml:space="preserve">) that are in the GO set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N: Number of genes of interest with any GO annoation.</w:t>
            </w:r>
          </w:p>
          <w:p>
            <w:pPr>
              <w:pStyle w:val="FirstParagraph"/>
            </w:pPr>
            <w:r>
              <w:t xml:space="preserve">The two numbers (k/n) in the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k: Number of genes in the universe that are in the GO set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n: Number of genes in the universe with any GO annoation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low p-value resulting from the Fisher’s exact means that M/N is signficantly greater than k/n. </w:t>
            </w:r>
          </w:p>
        </w:tc>
      </w:tr>
    </w:tbl>
    <w:p>
      <w:pPr>
        <w:pStyle w:val="BodyText"/>
      </w:pPr>
      <w:r>
        <w:t xml:space="preserve">Some GO terms seem redundant because they contain many of the same genes, which is a characteristic of Gene Ontology gene sets. We can simplify this list by removing redundant gene sets:</w:t>
      </w:r>
    </w:p>
    <w:p>
      <w:pPr>
        <w:pStyle w:val="SourceCode"/>
      </w:pPr>
      <w:r>
        <w:rPr>
          <w:rStyle w:val="NormalTok"/>
        </w:rPr>
        <w:t xml:space="preserve">enr_go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simplify</w:t>
      </w:r>
      <w:r>
        <w:rPr>
          <w:rStyle w:val="NormalTok"/>
        </w:rPr>
        <w:t xml:space="preserve">(tum_vs_norm_go)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(enr_go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cell cycle phase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 of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We can quite easily generate a plot called an enrichment map with the</w:t>
      </w:r>
      <w:r>
        <w:t xml:space="preserve"> </w:t>
      </w:r>
      <w:r>
        <w:rPr>
          <w:rStyle w:val="VerbatimChar"/>
        </w:rPr>
        <w:t xml:space="preserve">enrichplot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NormalTok"/>
        </w:rPr>
        <w:t xml:space="preserve">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emapplot</w:t>
      </w:r>
      <w:r>
        <w:rPr>
          <w:rStyle w:val="NormalTok"/>
        </w:rPr>
        <w:t xml:space="preserve">(enrichplot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pairwise_termsim</w:t>
      </w:r>
      <w:r>
        <w:rPr>
          <w:rStyle w:val="NormalTok"/>
        </w:rPr>
        <w:t xml:space="preserve">(enr_go),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showCategory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Instead of testing for Gene Ontology terms, we can also test for other gene set collections. For example the Hallmark collection from</w:t>
      </w:r>
      <w:r>
        <w:t xml:space="preserve"> </w:t>
      </w:r>
      <w:hyperlink r:id="rId20">
        <w:r>
          <w:rPr>
            <w:rStyle w:val="Hyperlink"/>
          </w:rPr>
          <w:t xml:space="preserve">MSigDB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(msigdbr)</w:t>
      </w:r>
    </w:p>
    <w:p>
      <w:pPr>
        <w:pStyle w:val="SourceCode"/>
      </w:pPr>
      <w:r>
        <w:rPr>
          <w:rStyle w:val="VerbatimChar"/>
        </w:rPr>
        <w:t xml:space="preserve">Warning: package 'msigdbr' was built under R version 4.3.3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(msigdbdf)</w:t>
      </w:r>
      <w:r>
        <w:br/>
      </w:r>
      <w:r>
        <w:rPr>
          <w:rStyle w:val="NormalTok"/>
        </w:rPr>
        <w:t xml:space="preserve">gmt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msigdbr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msigdbr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The `category` argument of `msigdbr()` is deprecated as of msigdbr 10.0.0.</w:t>
      </w:r>
      <w:r>
        <w:br/>
      </w:r>
      <w:r>
        <w:rPr>
          <w:rStyle w:val="VerbatimChar"/>
        </w:rPr>
        <w:t xml:space="preserve">ℹ Please use the `collection` argument instead.</w:t>
      </w:r>
    </w:p>
    <w:p>
      <w:pPr>
        <w:pStyle w:val="FirstParagraph"/>
      </w:pPr>
      <w:r>
        <w:t xml:space="preserve">We can use the function</w:t>
      </w:r>
      <w:r>
        <w:t xml:space="preserve"> </w:t>
      </w:r>
      <w:r>
        <w:rPr>
          <w:rStyle w:val="VerbatimChar"/>
        </w:rPr>
        <w:t xml:space="preserve">enricher</w:t>
      </w:r>
      <w:r>
        <w:t xml:space="preserve"> </w:t>
      </w:r>
      <w:r>
        <w:t xml:space="preserve">to test for over-representation of any set of genes of the Hallmark collection. We have to include the</w:t>
      </w:r>
      <w:r>
        <w:t xml:space="preserve"> </w:t>
      </w:r>
      <w:r>
        <w:t xml:space="preserve">“universe”</w:t>
      </w:r>
      <w:r>
        <w:t xml:space="preserve">, i.e. the full list of background, non significant genes, against which to test for differences in proportions:</w:t>
      </w:r>
    </w:p>
    <w:p>
      <w:pPr>
        <w:pStyle w:val="SourceCode"/>
      </w:pPr>
      <w:r>
        <w:rPr>
          <w:rStyle w:val="NormalTok"/>
        </w:rPr>
        <w:t xml:space="preserve">tum_vs_norm_enrich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tum_down_genes,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universe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(proB),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pAdjustMethod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qvalueCutoff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TERM2GENE =</w:t>
      </w:r>
      <w:r>
        <w:rPr>
          <w:rStyle w:val="NormalTok"/>
        </w:rPr>
        <w:t xml:space="preserve"> gmt[,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"gs_name"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"gene_symbol"</w:t>
      </w:r>
      <w:r>
        <w:rPr>
          <w:rStyle w:val="NormalTok"/>
        </w:rPr>
        <w:t xml:space="preserve">)])</w:t>
      </w:r>
    </w:p>
    <w:p>
      <w:pPr>
        <w:pStyle w:val="FirstParagraph"/>
      </w:pPr>
      <w:r>
        <w:t xml:space="preserve">When using the genes down-regulated in tumor, among the over-represented Hallmark gene sets, we have</w:t>
      </w:r>
      <w:r>
        <w:t xml:space="preserve"> </w:t>
      </w:r>
      <w:r>
        <w:rPr>
          <w:rStyle w:val="VerbatimChar"/>
        </w:rPr>
        <w:t xml:space="preserve">HALLMARK_G2M_CHECKPOINT</w:t>
      </w:r>
      <w:r>
        <w:t xml:space="preserve">, which includes genes involved in the G2/M checkpoint in the progression through the cell division cycle.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result[tum_vs_norm_enrich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p.adjust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7"/>
        <w:gridCol w:w="1747"/>
        <w:gridCol w:w="1747"/>
        <w:gridCol w:w="546"/>
        <w:gridCol w:w="491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0.0040845</w:t>
            </w:r>
          </w:p>
        </w:tc>
      </w:tr>
    </w:tbl>
    <w:bookmarkStart w:id="35" w:name="clear-environment"/>
    <w:p>
      <w:pPr>
        <w:pStyle w:val="Heading3"/>
      </w:pPr>
      <w:r>
        <w:t xml:space="preserve">Clear environment</w:t>
      </w:r>
    </w:p>
    <w:p>
      <w:pPr>
        <w:pStyle w:val="FirstParagraph"/>
      </w:pPr>
      <w:r>
        <w:t xml:space="preserve">Clear your environment: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.rs.restartR</w:t>
      </w:r>
      <w:r>
        <w:rPr>
          <w:rStyle w:val="NormalTok"/>
        </w:rPr>
        <w:t xml:space="preserve">()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Enrichment analysis</dc:title>
  <dc:creator/>
  <cp:keywords/>
  <dcterms:created xsi:type="dcterms:W3CDTF">2025-06-19T11:54:15Z</dcterms:created>
  <dcterms:modified xsi:type="dcterms:W3CDTF">2025-06-19T11:54:15Z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