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F5D9B" w14:textId="77777777" w:rsidR="00B22AC5" w:rsidRDefault="00000000">
      <w:pPr>
        <w:pStyle w:val="Title"/>
      </w:pPr>
      <w:r>
        <w:t>Project 2</w:t>
      </w:r>
    </w:p>
    <w:p w14:paraId="7526C5C4" w14:textId="77777777" w:rsidR="00B22AC5" w:rsidRDefault="00000000">
      <w:pPr>
        <w:pStyle w:val="FirstParagraph"/>
      </w:pPr>
      <w:r>
        <w:t xml:space="preserve">Project 2 focuses on a single-cell sequencing study of the Drosophila brain following acute cocaine exposure; </w:t>
      </w:r>
      <w:hyperlink r:id="rId5">
        <w:r>
          <w:rPr>
            <w:rStyle w:val="Hyperlink"/>
          </w:rPr>
          <w:t>paper</w:t>
        </w:r>
      </w:hyperlink>
      <w:r>
        <w:t>. Flies were exposed to cocaine, which impaired locomotor activity and increased the incidence of seizures and compulsive grooming. To investigate the specific cell populations responding to cocaine, single-cell transcriptional responses were analyzed in duplicate samples of flies that consumed sucrose or sucrose supplemented with cocaine. The study utilized the 10x Genomics Chromium platform for single-cell RNA sequencing.</w:t>
      </w:r>
    </w:p>
    <w:p w14:paraId="6B7DF4D3" w14:textId="77777777" w:rsidR="00B22AC5" w:rsidRDefault="00000000">
      <w:pPr>
        <w:pStyle w:val="BodyText"/>
      </w:pPr>
      <w:r>
        <w:t>Unsupervised clustering of transcriptional profiles from 86,224 cells revealed 36 distinct clusters, representing all major cell types (neuronal and glial) and neurotransmitter types from most brain regions. Differential expression analysis within individual clusters indicated cluster-specific responses to cocaine, with Kenyon cells of the mushroom bodies and glia showing particularly large transcriptional changes. The study highlighted profound sexual dimorphism in brain transcriptional responses to cocaine, with males exhibiting more pronounced changes than females.</w:t>
      </w:r>
    </w:p>
    <w:p w14:paraId="5A262FD2" w14:textId="77777777" w:rsidR="00B22AC5" w:rsidRDefault="00000000">
      <w:pPr>
        <w:pStyle w:val="BodyText"/>
      </w:pPr>
      <w:r>
        <w:t>Cluster-specific coexpression networks and global interaction networks revealed diverse cellular processes affected by acute cocaine exposure, providing an atlas of sexually dimorphic cocaine-modulated gene expression in the Drosophila brain.</w:t>
      </w:r>
    </w:p>
    <w:p w14:paraId="06057E28" w14:textId="77777777" w:rsidR="00B22AC5" w:rsidRDefault="00000000">
      <w:pPr>
        <w:pStyle w:val="Heading2"/>
      </w:pPr>
      <w:bookmarkStart w:id="0" w:name="available-data"/>
      <w:r>
        <w:t>Available data</w:t>
      </w:r>
    </w:p>
    <w:p w14:paraId="1BC58978" w14:textId="77777777" w:rsidR="00B22AC5" w:rsidRDefault="00000000">
      <w:pPr>
        <w:pStyle w:val="FirstParagraph"/>
      </w:pPr>
      <w:r>
        <w:t xml:space="preserve">Data has been downloaded and prepared for you from </w:t>
      </w:r>
      <w:hyperlink r:id="rId6">
        <w:r>
          <w:rPr>
            <w:rStyle w:val="Hyperlink"/>
          </w:rPr>
          <w:t>GEO GSE152495</w:t>
        </w:r>
      </w:hyperlink>
      <w:r>
        <w:t>.</w:t>
      </w:r>
    </w:p>
    <w:p w14:paraId="04377845" w14:textId="77777777" w:rsidR="00B22AC5" w:rsidRDefault="00000000">
      <w:pPr>
        <w:pStyle w:val="BodyText"/>
      </w:pPr>
      <w:proofErr w:type="gramStart"/>
      <w:r>
        <w:t>In order to</w:t>
      </w:r>
      <w:proofErr w:type="gramEnd"/>
      <w:r>
        <w:t xml:space="preserve"> download the data, run:</w:t>
      </w:r>
    </w:p>
    <w:p w14:paraId="60E57A65" w14:textId="5E954E74" w:rsidR="000F7C2D" w:rsidRDefault="000F7C2D">
      <w:pPr>
        <w:pStyle w:val="BodyText"/>
      </w:pPr>
      <w:r>
        <w:t>Code starts here:</w:t>
      </w:r>
    </w:p>
    <w:p w14:paraId="5F0DA0F8" w14:textId="77777777" w:rsidR="00B22AC5" w:rsidRDefault="00000000">
      <w:pPr>
        <w:pStyle w:val="SourceCode"/>
      </w:pPr>
      <w:r>
        <w:rPr>
          <w:rStyle w:val="FunctionTok"/>
        </w:rPr>
        <w:t>wget</w:t>
      </w:r>
      <w:r>
        <w:rPr>
          <w:rStyle w:val="NormalTok"/>
        </w:rPr>
        <w:t xml:space="preserve"> https://single-cell-transcriptomics.s3.eu-central-1.amazonaws.com/projects/data/project2.tar.gz</w:t>
      </w:r>
      <w:r>
        <w:br/>
      </w:r>
      <w:r>
        <w:rPr>
          <w:rStyle w:val="FunctionTok"/>
        </w:rPr>
        <w:t>tar</w:t>
      </w:r>
      <w:r>
        <w:rPr>
          <w:rStyle w:val="NormalTok"/>
        </w:rPr>
        <w:t xml:space="preserve"> </w:t>
      </w:r>
      <w:r>
        <w:rPr>
          <w:rStyle w:val="AttributeTok"/>
        </w:rPr>
        <w:t>-xzvf</w:t>
      </w:r>
      <w:r>
        <w:rPr>
          <w:rStyle w:val="NormalTok"/>
        </w:rPr>
        <w:t xml:space="preserve"> project2.tar.gz</w:t>
      </w:r>
    </w:p>
    <w:p w14:paraId="28E522E3" w14:textId="77777777" w:rsidR="00B22AC5" w:rsidRDefault="00000000">
      <w:pPr>
        <w:pStyle w:val="FirstParagraph"/>
      </w:pPr>
      <w:r>
        <w:t xml:space="preserve">After extracting, a directory </w:t>
      </w:r>
      <w:r>
        <w:rPr>
          <w:rStyle w:val="VerbatimChar"/>
        </w:rPr>
        <w:t>project2</w:t>
      </w:r>
      <w:r>
        <w:t xml:space="preserve"> appears with the following format:</w:t>
      </w:r>
    </w:p>
    <w:p w14:paraId="79781B4E" w14:textId="77777777" w:rsidR="00B22AC5" w:rsidRDefault="00000000">
      <w:pPr>
        <w:pStyle w:val="SourceCode"/>
      </w:pPr>
      <w:r>
        <w:rPr>
          <w:rStyle w:val="VerbatimChar"/>
        </w:rPr>
        <w:t>.</w:t>
      </w:r>
      <w:r>
        <w:br/>
      </w:r>
      <w:r>
        <w:rPr>
          <w:rStyle w:val="VerbatimChar"/>
        </w:rPr>
        <w:t>├── data</w:t>
      </w:r>
      <w:r>
        <w:br/>
      </w:r>
      <w:r>
        <w:rPr>
          <w:rStyle w:val="VerbatimChar"/>
        </w:rPr>
        <w:t>│   ├── Female_Cocaine_1</w:t>
      </w:r>
      <w:r>
        <w:br/>
      </w:r>
      <w:r>
        <w:rPr>
          <w:rStyle w:val="VerbatimChar"/>
        </w:rPr>
        <w:t>│   │   ├── barcodes.tsv.gz</w:t>
      </w:r>
      <w:r>
        <w:br/>
      </w:r>
      <w:r>
        <w:rPr>
          <w:rStyle w:val="VerbatimChar"/>
        </w:rPr>
        <w:t>│   │   ├── features.tsv.gz</w:t>
      </w:r>
      <w:r>
        <w:br/>
      </w:r>
      <w:r>
        <w:rPr>
          <w:rStyle w:val="VerbatimChar"/>
        </w:rPr>
        <w:t>│   │   └── matrix.mtx.gz</w:t>
      </w:r>
      <w:r>
        <w:br/>
      </w:r>
      <w:r>
        <w:rPr>
          <w:rStyle w:val="VerbatimChar"/>
        </w:rPr>
        <w:t>│   ├── Female_Cocaine_2</w:t>
      </w:r>
      <w:r>
        <w:br/>
      </w:r>
      <w:r>
        <w:rPr>
          <w:rStyle w:val="VerbatimChar"/>
        </w:rPr>
        <w:t>│   │   ├── barcodes.tsv.gz</w:t>
      </w:r>
      <w:r>
        <w:br/>
      </w:r>
      <w:r>
        <w:rPr>
          <w:rStyle w:val="VerbatimChar"/>
        </w:rPr>
        <w:t>│   │   ├── features.tsv.gz</w:t>
      </w:r>
      <w:r>
        <w:br/>
      </w:r>
      <w:r>
        <w:rPr>
          <w:rStyle w:val="VerbatimChar"/>
        </w:rPr>
        <w:t>│   │   └── matrix.mtx.gz</w:t>
      </w:r>
      <w:r>
        <w:br/>
      </w:r>
      <w:r>
        <w:rPr>
          <w:rStyle w:val="VerbatimChar"/>
        </w:rPr>
        <w:t>│   ├── Female_Sucrose_1</w:t>
      </w:r>
      <w:r>
        <w:br/>
      </w:r>
      <w:r>
        <w:rPr>
          <w:rStyle w:val="VerbatimChar"/>
        </w:rPr>
        <w:t>│   │   ├── barcodes.tsv.gz</w:t>
      </w:r>
      <w:r>
        <w:br/>
      </w:r>
      <w:r>
        <w:rPr>
          <w:rStyle w:val="VerbatimChar"/>
        </w:rPr>
        <w:lastRenderedPageBreak/>
        <w:t>│   │   ├── features.tsv.gz</w:t>
      </w:r>
      <w:r>
        <w:br/>
      </w:r>
      <w:r>
        <w:rPr>
          <w:rStyle w:val="VerbatimChar"/>
        </w:rPr>
        <w:t>│   │   └── matrix.mtx.gz</w:t>
      </w:r>
      <w:r>
        <w:br/>
      </w:r>
      <w:r>
        <w:rPr>
          <w:rStyle w:val="VerbatimChar"/>
        </w:rPr>
        <w:t>│   ├── Female_Sucrose_2</w:t>
      </w:r>
      <w:r>
        <w:br/>
      </w:r>
      <w:r>
        <w:rPr>
          <w:rStyle w:val="VerbatimChar"/>
        </w:rPr>
        <w:t>│   │   ├── barcodes.tsv.gz</w:t>
      </w:r>
      <w:r>
        <w:br/>
      </w:r>
      <w:r>
        <w:rPr>
          <w:rStyle w:val="VerbatimChar"/>
        </w:rPr>
        <w:t>│   │   ├── features.tsv.gz</w:t>
      </w:r>
      <w:r>
        <w:br/>
      </w:r>
      <w:r>
        <w:rPr>
          <w:rStyle w:val="VerbatimChar"/>
        </w:rPr>
        <w:t>│   │   └── matrix.mtx.gz</w:t>
      </w:r>
      <w:r>
        <w:br/>
      </w:r>
      <w:r>
        <w:rPr>
          <w:rStyle w:val="VerbatimChar"/>
        </w:rPr>
        <w:t>│   ├── Male_Cocaine_1</w:t>
      </w:r>
      <w:r>
        <w:br/>
      </w:r>
      <w:r>
        <w:rPr>
          <w:rStyle w:val="VerbatimChar"/>
        </w:rPr>
        <w:t>│   │   ├── barcodes.tsv.gz</w:t>
      </w:r>
      <w:r>
        <w:br/>
      </w:r>
      <w:r>
        <w:rPr>
          <w:rStyle w:val="VerbatimChar"/>
        </w:rPr>
        <w:t>│   │   ├── features.tsv.gz</w:t>
      </w:r>
      <w:r>
        <w:br/>
      </w:r>
      <w:r>
        <w:rPr>
          <w:rStyle w:val="VerbatimChar"/>
        </w:rPr>
        <w:t>│   │   └── matrix.mtx.gz</w:t>
      </w:r>
      <w:r>
        <w:br/>
      </w:r>
      <w:r>
        <w:rPr>
          <w:rStyle w:val="VerbatimChar"/>
        </w:rPr>
        <w:t>│   ├── Male_Cocaine_2</w:t>
      </w:r>
      <w:r>
        <w:br/>
      </w:r>
      <w:r>
        <w:rPr>
          <w:rStyle w:val="VerbatimChar"/>
        </w:rPr>
        <w:t>│   │   ├── barcodes.tsv.gz</w:t>
      </w:r>
      <w:r>
        <w:br/>
      </w:r>
      <w:r>
        <w:rPr>
          <w:rStyle w:val="VerbatimChar"/>
        </w:rPr>
        <w:t>│   │   ├── features.tsv.gz</w:t>
      </w:r>
      <w:r>
        <w:br/>
      </w:r>
      <w:r>
        <w:rPr>
          <w:rStyle w:val="VerbatimChar"/>
        </w:rPr>
        <w:t>│   │   └── matrix.mtx.gz</w:t>
      </w:r>
      <w:r>
        <w:br/>
      </w:r>
      <w:r>
        <w:rPr>
          <w:rStyle w:val="VerbatimChar"/>
        </w:rPr>
        <w:t>│   ├── Male_Sucrose_1</w:t>
      </w:r>
      <w:r>
        <w:br/>
      </w:r>
      <w:r>
        <w:rPr>
          <w:rStyle w:val="VerbatimChar"/>
        </w:rPr>
        <w:t>│   │   ├── barcodes.tsv.gz</w:t>
      </w:r>
      <w:r>
        <w:br/>
      </w:r>
      <w:r>
        <w:rPr>
          <w:rStyle w:val="VerbatimChar"/>
        </w:rPr>
        <w:t>│   │   ├── features.tsv.gz</w:t>
      </w:r>
      <w:r>
        <w:br/>
      </w:r>
      <w:r>
        <w:rPr>
          <w:rStyle w:val="VerbatimChar"/>
        </w:rPr>
        <w:t>│   │   └── matrix.mtx.gz</w:t>
      </w:r>
      <w:r>
        <w:br/>
      </w:r>
      <w:r>
        <w:rPr>
          <w:rStyle w:val="VerbatimChar"/>
        </w:rPr>
        <w:t>│   └── Male_Sucrose_2</w:t>
      </w:r>
      <w:r>
        <w:br/>
      </w:r>
      <w:r>
        <w:rPr>
          <w:rStyle w:val="VerbatimChar"/>
        </w:rPr>
        <w:t>│       ├── barcodes.tsv.gz</w:t>
      </w:r>
      <w:r>
        <w:br/>
      </w:r>
      <w:r>
        <w:rPr>
          <w:rStyle w:val="VerbatimChar"/>
        </w:rPr>
        <w:t>│       ├── features.tsv.gz</w:t>
      </w:r>
      <w:r>
        <w:br/>
      </w:r>
      <w:r>
        <w:rPr>
          <w:rStyle w:val="VerbatimChar"/>
        </w:rPr>
        <w:t>│       └── matrix.mtx.gz</w:t>
      </w:r>
      <w:r>
        <w:br/>
      </w:r>
      <w:r>
        <w:rPr>
          <w:rStyle w:val="VerbatimChar"/>
        </w:rPr>
        <w:t>└── paper.pdf</w:t>
      </w:r>
      <w:r>
        <w:br/>
      </w:r>
      <w:r>
        <w:br/>
      </w:r>
      <w:r>
        <w:rPr>
          <w:rStyle w:val="VerbatimChar"/>
        </w:rPr>
        <w:t>9 directories, 25 files</w:t>
      </w:r>
    </w:p>
    <w:p w14:paraId="0FBC6C0F" w14:textId="77777777" w:rsidR="00B22AC5" w:rsidRDefault="00000000">
      <w:pPr>
        <w:pStyle w:val="FirstParagraph"/>
      </w:pPr>
      <w:r>
        <w:t>Showing us that we have two replicates per treatment, and two treatments:</w:t>
      </w:r>
    </w:p>
    <w:p w14:paraId="4A8A4481" w14:textId="77777777" w:rsidR="00B22AC5" w:rsidRDefault="00000000">
      <w:pPr>
        <w:pStyle w:val="Compact"/>
        <w:numPr>
          <w:ilvl w:val="0"/>
          <w:numId w:val="2"/>
        </w:numPr>
      </w:pPr>
      <w:r>
        <w:t>Male_Sucrose: controls</w:t>
      </w:r>
    </w:p>
    <w:p w14:paraId="3572E686" w14:textId="77777777" w:rsidR="00B22AC5" w:rsidRDefault="00000000">
      <w:pPr>
        <w:pStyle w:val="Compact"/>
        <w:numPr>
          <w:ilvl w:val="0"/>
          <w:numId w:val="2"/>
        </w:numPr>
      </w:pPr>
      <w:r>
        <w:t>Female_Sucrose: controls</w:t>
      </w:r>
    </w:p>
    <w:p w14:paraId="14027E78" w14:textId="77777777" w:rsidR="00B22AC5" w:rsidRDefault="00000000">
      <w:pPr>
        <w:pStyle w:val="Compact"/>
        <w:numPr>
          <w:ilvl w:val="0"/>
          <w:numId w:val="2"/>
        </w:numPr>
      </w:pPr>
      <w:r>
        <w:t>Male_Cocaine: treatments</w:t>
      </w:r>
    </w:p>
    <w:p w14:paraId="3EBA88A0" w14:textId="77777777" w:rsidR="00B22AC5" w:rsidRDefault="00000000">
      <w:pPr>
        <w:pStyle w:val="Compact"/>
        <w:numPr>
          <w:ilvl w:val="0"/>
          <w:numId w:val="2"/>
        </w:numPr>
      </w:pPr>
      <w:r>
        <w:t>Female_Cocaine: treatments</w:t>
      </w:r>
    </w:p>
    <w:p w14:paraId="15184376" w14:textId="77777777" w:rsidR="00B22AC5" w:rsidRDefault="00000000">
      <w:pPr>
        <w:pStyle w:val="FirstParagraph"/>
      </w:pPr>
      <w:r>
        <w:t xml:space="preserve">Now create a new project in the </w:t>
      </w:r>
      <w:r>
        <w:rPr>
          <w:rStyle w:val="VerbatimChar"/>
        </w:rPr>
        <w:t>project2</w:t>
      </w:r>
      <w:r>
        <w:t xml:space="preserve"> directory (Project (None) &gt; New Project …), and create Seurat object from the count matrices:</w:t>
      </w:r>
    </w:p>
    <w:p w14:paraId="4C30F25D" w14:textId="0CCEA863" w:rsidR="000F7C2D" w:rsidRPr="000F7C2D" w:rsidRDefault="000F7C2D" w:rsidP="000F7C2D">
      <w:pPr>
        <w:pStyle w:val="BodyText"/>
      </w:pPr>
      <w:r>
        <w:t>Code starts here:</w:t>
      </w:r>
    </w:p>
    <w:p w14:paraId="5EE0B778" w14:textId="77777777" w:rsidR="00B22AC5" w:rsidRDefault="00000000">
      <w:pPr>
        <w:pStyle w:val="SourceCode"/>
      </w:pPr>
      <w:r>
        <w:rPr>
          <w:rStyle w:val="FunctionTok"/>
        </w:rPr>
        <w:t>library</w:t>
      </w:r>
      <w:r>
        <w:rPr>
          <w:rStyle w:val="NormalTok"/>
        </w:rPr>
        <w:t>(Seurat)</w:t>
      </w:r>
      <w:r>
        <w:br/>
      </w:r>
      <w:r>
        <w:br/>
      </w:r>
      <w:r>
        <w:rPr>
          <w:rStyle w:val="CommentTok"/>
        </w:rPr>
        <w:t># vector of paths to all sample directories</w:t>
      </w:r>
      <w:r>
        <w:br/>
      </w:r>
      <w:r>
        <w:rPr>
          <w:rStyle w:val="NormalTok"/>
        </w:rPr>
        <w:t xml:space="preserve">datadirs </w:t>
      </w:r>
      <w:r>
        <w:rPr>
          <w:rStyle w:val="OtherTok"/>
        </w:rPr>
        <w:t>&lt;-</w:t>
      </w:r>
      <w:r>
        <w:rPr>
          <w:rStyle w:val="NormalTok"/>
        </w:rPr>
        <w:t xml:space="preserve"> </w:t>
      </w:r>
      <w:r>
        <w:rPr>
          <w:rStyle w:val="FunctionTok"/>
        </w:rPr>
        <w:t>list.files</w:t>
      </w:r>
      <w:r>
        <w:rPr>
          <w:rStyle w:val="NormalTok"/>
        </w:rPr>
        <w:t>(</w:t>
      </w:r>
      <w:r>
        <w:rPr>
          <w:rStyle w:val="AttributeTok"/>
        </w:rPr>
        <w:t>path =</w:t>
      </w:r>
      <w:r>
        <w:rPr>
          <w:rStyle w:val="NormalTok"/>
        </w:rPr>
        <w:t xml:space="preserve"> </w:t>
      </w:r>
      <w:r>
        <w:rPr>
          <w:rStyle w:val="StringTok"/>
        </w:rPr>
        <w:t>"data"</w:t>
      </w:r>
      <w:r>
        <w:rPr>
          <w:rStyle w:val="NormalTok"/>
        </w:rPr>
        <w:t xml:space="preserve">, </w:t>
      </w:r>
      <w:r>
        <w:rPr>
          <w:rStyle w:val="AttributeTok"/>
        </w:rPr>
        <w:t>full.names =</w:t>
      </w:r>
      <w:r>
        <w:rPr>
          <w:rStyle w:val="NormalTok"/>
        </w:rPr>
        <w:t xml:space="preserve"> </w:t>
      </w:r>
      <w:r>
        <w:rPr>
          <w:rStyle w:val="ConstantTok"/>
        </w:rPr>
        <w:t>TRUE</w:t>
      </w:r>
      <w:r>
        <w:rPr>
          <w:rStyle w:val="NormalTok"/>
        </w:rPr>
        <w:t>)</w:t>
      </w:r>
      <w:r>
        <w:br/>
      </w:r>
      <w:r>
        <w:br/>
      </w:r>
      <w:r>
        <w:rPr>
          <w:rStyle w:val="CommentTok"/>
        </w:rPr>
        <w:t># get the sample names</w:t>
      </w:r>
      <w:r>
        <w:br/>
      </w:r>
      <w:r>
        <w:rPr>
          <w:rStyle w:val="CommentTok"/>
        </w:rPr>
        <w:t># replace underscores with hyphen to correctly extract sample names later on</w:t>
      </w:r>
      <w:r>
        <w:br/>
      </w:r>
      <w:r>
        <w:rPr>
          <w:rStyle w:val="FunctionTok"/>
        </w:rPr>
        <w:t>names</w:t>
      </w:r>
      <w:r>
        <w:rPr>
          <w:rStyle w:val="NormalTok"/>
        </w:rPr>
        <w:t xml:space="preserve">(datadirs) </w:t>
      </w:r>
      <w:r>
        <w:rPr>
          <w:rStyle w:val="OtherTok"/>
        </w:rPr>
        <w:t>&lt;-</w:t>
      </w:r>
      <w:r>
        <w:rPr>
          <w:rStyle w:val="NormalTok"/>
        </w:rPr>
        <w:t xml:space="preserve"> </w:t>
      </w:r>
      <w:r>
        <w:rPr>
          <w:rStyle w:val="FunctionTok"/>
        </w:rPr>
        <w:t>basename</w:t>
      </w:r>
      <w:r>
        <w:rPr>
          <w:rStyle w:val="NormalTok"/>
        </w:rPr>
        <w:t xml:space="preserve">(datadirs) </w:t>
      </w:r>
      <w:r>
        <w:rPr>
          <w:rStyle w:val="SpecialCharTok"/>
        </w:rPr>
        <w:t>|&gt;</w:t>
      </w:r>
      <w:r>
        <w:rPr>
          <w:rStyle w:val="NormalTok"/>
        </w:rPr>
        <w:t xml:space="preserve"> </w:t>
      </w:r>
      <w:r>
        <w:rPr>
          <w:rStyle w:val="FunctionTok"/>
        </w:rPr>
        <w:t>gsub</w:t>
      </w:r>
      <w:r>
        <w:rPr>
          <w:rStyle w:val="NormalTok"/>
        </w:rPr>
        <w:t>(</w:t>
      </w:r>
      <w:r>
        <w:rPr>
          <w:rStyle w:val="StringTok"/>
        </w:rPr>
        <w:t>"_"</w:t>
      </w:r>
      <w:r>
        <w:rPr>
          <w:rStyle w:val="NormalTok"/>
        </w:rPr>
        <w:t xml:space="preserve">, </w:t>
      </w:r>
      <w:r>
        <w:rPr>
          <w:rStyle w:val="StringTok"/>
        </w:rPr>
        <w:t>"-"</w:t>
      </w:r>
      <w:r>
        <w:rPr>
          <w:rStyle w:val="NormalTok"/>
        </w:rPr>
        <w:t xml:space="preserve">, </w:t>
      </w:r>
      <w:r>
        <w:rPr>
          <w:rStyle w:val="AttributeTok"/>
        </w:rPr>
        <w:t>x =</w:t>
      </w:r>
      <w:r>
        <w:rPr>
          <w:rStyle w:val="NormalTok"/>
        </w:rPr>
        <w:t xml:space="preserve"> _)</w:t>
      </w:r>
      <w:r>
        <w:br/>
      </w:r>
      <w:r>
        <w:br/>
      </w:r>
      <w:r>
        <w:rPr>
          <w:rStyle w:val="CommentTok"/>
        </w:rPr>
        <w:t># for now, we take only one sample per treatment</w:t>
      </w:r>
      <w:r>
        <w:br/>
      </w:r>
      <w:r>
        <w:rPr>
          <w:rStyle w:val="NormalTok"/>
        </w:rPr>
        <w:t xml:space="preserve">datadirs </w:t>
      </w:r>
      <w:r>
        <w:rPr>
          <w:rStyle w:val="OtherTok"/>
        </w:rPr>
        <w:t>&lt;-</w:t>
      </w:r>
      <w:r>
        <w:rPr>
          <w:rStyle w:val="NormalTok"/>
        </w:rPr>
        <w:t xml:space="preserve"> datadirs[</w:t>
      </w:r>
      <w:r>
        <w:rPr>
          <w:rStyle w:val="FunctionTok"/>
        </w:rPr>
        <w:t>c</w:t>
      </w:r>
      <w:r>
        <w:rPr>
          <w:rStyle w:val="NormalTok"/>
        </w:rPr>
        <w:t>(</w:t>
      </w:r>
      <w:r>
        <w:rPr>
          <w:rStyle w:val="StringTok"/>
        </w:rPr>
        <w:t>"Female-Cocaine-1"</w:t>
      </w:r>
      <w:r>
        <w:rPr>
          <w:rStyle w:val="NormalTok"/>
        </w:rPr>
        <w:t xml:space="preserve">, </w:t>
      </w:r>
      <w:r>
        <w:rPr>
          <w:rStyle w:val="StringTok"/>
        </w:rPr>
        <w:t>"Female-Sucrose-1"</w:t>
      </w:r>
      <w:r>
        <w:rPr>
          <w:rStyle w:val="NormalTok"/>
        </w:rPr>
        <w:t>,</w:t>
      </w:r>
      <w:r>
        <w:br/>
      </w:r>
      <w:r>
        <w:rPr>
          <w:rStyle w:val="NormalTok"/>
        </w:rPr>
        <w:lastRenderedPageBreak/>
        <w:t xml:space="preserve">                       </w:t>
      </w:r>
      <w:r>
        <w:rPr>
          <w:rStyle w:val="StringTok"/>
        </w:rPr>
        <w:t>"Male-Cocaine-1"</w:t>
      </w:r>
      <w:r>
        <w:rPr>
          <w:rStyle w:val="NormalTok"/>
        </w:rPr>
        <w:t xml:space="preserve">, </w:t>
      </w:r>
      <w:r>
        <w:rPr>
          <w:rStyle w:val="StringTok"/>
        </w:rPr>
        <w:t>"Male-Sucrose-1"</w:t>
      </w:r>
      <w:r>
        <w:rPr>
          <w:rStyle w:val="NormalTok"/>
        </w:rPr>
        <w:t>)]</w:t>
      </w:r>
      <w:r>
        <w:br/>
      </w:r>
      <w:r>
        <w:br/>
      </w:r>
      <w:r>
        <w:rPr>
          <w:rStyle w:val="CommentTok"/>
        </w:rPr>
        <w:t># create a large sparse matrix from all count data</w:t>
      </w:r>
      <w:r>
        <w:br/>
      </w:r>
      <w:r>
        <w:rPr>
          <w:rStyle w:val="NormalTok"/>
        </w:rPr>
        <w:t xml:space="preserve">sparse_matrix </w:t>
      </w:r>
      <w:r>
        <w:rPr>
          <w:rStyle w:val="OtherTok"/>
        </w:rPr>
        <w:t>&lt;-</w:t>
      </w:r>
      <w:r>
        <w:rPr>
          <w:rStyle w:val="NormalTok"/>
        </w:rPr>
        <w:t xml:space="preserve"> Seurat</w:t>
      </w:r>
      <w:r>
        <w:rPr>
          <w:rStyle w:val="SpecialCharTok"/>
        </w:rPr>
        <w:t>::</w:t>
      </w:r>
      <w:r>
        <w:rPr>
          <w:rStyle w:val="FunctionTok"/>
        </w:rPr>
        <w:t>Read10X</w:t>
      </w:r>
      <w:r>
        <w:rPr>
          <w:rStyle w:val="NormalTok"/>
        </w:rPr>
        <w:t>(</w:t>
      </w:r>
      <w:r>
        <w:rPr>
          <w:rStyle w:val="AttributeTok"/>
        </w:rPr>
        <w:t>data.dir =</w:t>
      </w:r>
      <w:r>
        <w:rPr>
          <w:rStyle w:val="NormalTok"/>
        </w:rPr>
        <w:t xml:space="preserve"> datadirs)</w:t>
      </w:r>
      <w:r>
        <w:br/>
      </w:r>
      <w:r>
        <w:br/>
      </w:r>
      <w:r>
        <w:rPr>
          <w:rStyle w:val="CommentTok"/>
        </w:rPr>
        <w:t># create a seurat object from sparse matrix</w:t>
      </w:r>
      <w:r>
        <w:br/>
      </w:r>
      <w:r>
        <w:rPr>
          <w:rStyle w:val="NormalTok"/>
        </w:rPr>
        <w:t xml:space="preserve">seu </w:t>
      </w:r>
      <w:r>
        <w:rPr>
          <w:rStyle w:val="OtherTok"/>
        </w:rPr>
        <w:t>&lt;-</w:t>
      </w:r>
      <w:r>
        <w:rPr>
          <w:rStyle w:val="NormalTok"/>
        </w:rPr>
        <w:t xml:space="preserve"> Seurat</w:t>
      </w:r>
      <w:r>
        <w:rPr>
          <w:rStyle w:val="SpecialCharTok"/>
        </w:rPr>
        <w:t>::</w:t>
      </w:r>
      <w:r>
        <w:rPr>
          <w:rStyle w:val="FunctionTok"/>
        </w:rPr>
        <w:t>CreateSeuratObject</w:t>
      </w:r>
      <w:r>
        <w:rPr>
          <w:rStyle w:val="NormalTok"/>
        </w:rPr>
        <w:t>(</w:t>
      </w:r>
      <w:r>
        <w:rPr>
          <w:rStyle w:val="AttributeTok"/>
        </w:rPr>
        <w:t>counts =</w:t>
      </w:r>
      <w:r>
        <w:rPr>
          <w:rStyle w:val="NormalTok"/>
        </w:rPr>
        <w:t xml:space="preserve"> sparse_matrix,</w:t>
      </w:r>
      <w:r>
        <w:br/>
      </w:r>
      <w:r>
        <w:rPr>
          <w:rStyle w:val="NormalTok"/>
        </w:rPr>
        <w:t xml:space="preserve">                                  </w:t>
      </w:r>
      <w:r>
        <w:rPr>
          <w:rStyle w:val="AttributeTok"/>
        </w:rPr>
        <w:t>project =</w:t>
      </w:r>
      <w:r>
        <w:rPr>
          <w:rStyle w:val="NormalTok"/>
        </w:rPr>
        <w:t xml:space="preserve"> </w:t>
      </w:r>
      <w:r>
        <w:rPr>
          <w:rStyle w:val="StringTok"/>
        </w:rPr>
        <w:t>"CocaineStudy"</w:t>
      </w:r>
      <w:r>
        <w:rPr>
          <w:rStyle w:val="NormalTok"/>
        </w:rPr>
        <w:t>)</w:t>
      </w:r>
    </w:p>
    <w:tbl>
      <w:tblPr>
        <w:tblStyle w:val="Table"/>
        <w:tblW w:w="5000" w:type="pct"/>
        <w:tblInd w:w="164"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B22AC5" w14:paraId="78E3B3B3" w14:textId="77777777" w:rsidTr="00B22AC5">
        <w:trPr>
          <w:cantSplit/>
        </w:trPr>
        <w:tc>
          <w:tcPr>
            <w:tcW w:w="0" w:type="auto"/>
            <w:shd w:val="clear" w:color="auto" w:fill="F7DDDC"/>
            <w:tcMar>
              <w:top w:w="92" w:type="dxa"/>
              <w:bottom w:w="92" w:type="dxa"/>
            </w:tcMar>
          </w:tcPr>
          <w:p w14:paraId="6DEB59DF" w14:textId="77777777" w:rsidR="00B22AC5" w:rsidRDefault="00000000">
            <w:pPr>
              <w:pStyle w:val="FirstParagraph"/>
              <w:spacing w:before="0" w:after="0"/>
              <w:textAlignment w:val="center"/>
            </w:pPr>
            <w:r>
              <w:rPr>
                <w:noProof/>
              </w:rPr>
              <w:drawing>
                <wp:inline distT="0" distB="0" distL="0" distR="0" wp14:anchorId="4FB3D8F7" wp14:editId="41975126">
                  <wp:extent cx="152400" cy="1524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Applications/RStudio.app/Contents/Resources/app/quarto/share/formats/docx/important.png"/>
                          <pic:cNvPicPr>
                            <a:picLocks noChangeAspect="1" noChangeArrowheads="1"/>
                          </pic:cNvPicPr>
                        </pic:nvPicPr>
                        <pic:blipFill>
                          <a:blip r:embed="rId7"/>
                          <a:stretch>
                            <a:fillRect/>
                          </a:stretch>
                        </pic:blipFill>
                        <pic:spPr bwMode="auto">
                          <a:xfrm>
                            <a:off x="0" y="0"/>
                            <a:ext cx="152400" cy="152400"/>
                          </a:xfrm>
                          <a:prstGeom prst="rect">
                            <a:avLst/>
                          </a:prstGeom>
                          <a:noFill/>
                          <a:ln w="9525">
                            <a:noFill/>
                            <a:headEnd/>
                            <a:tailEnd/>
                          </a:ln>
                        </pic:spPr>
                      </pic:pic>
                    </a:graphicData>
                  </a:graphic>
                </wp:inline>
              </w:drawing>
            </w:r>
            <w:r>
              <w:t xml:space="preserve">  Project exercise</w:t>
            </w:r>
          </w:p>
        </w:tc>
      </w:tr>
      <w:tr w:rsidR="00B22AC5" w14:paraId="71A8FF64" w14:textId="77777777" w:rsidTr="00B22AC5">
        <w:trPr>
          <w:cantSplit/>
        </w:trPr>
        <w:tc>
          <w:tcPr>
            <w:tcW w:w="0" w:type="auto"/>
            <w:tcMar>
              <w:top w:w="108" w:type="dxa"/>
              <w:bottom w:w="108" w:type="dxa"/>
            </w:tcMar>
          </w:tcPr>
          <w:p w14:paraId="5271C540" w14:textId="77777777" w:rsidR="00B22AC5" w:rsidRDefault="00000000">
            <w:pPr>
              <w:pStyle w:val="BodyText"/>
              <w:spacing w:before="16" w:after="16"/>
            </w:pPr>
            <w:r>
              <w:t>With this dataset, go through the steps we have performed during the course, and try to reproduce the results provided in the paper. Pay specific attention to quality control, clustering and annotation.</w:t>
            </w:r>
          </w:p>
        </w:tc>
      </w:tr>
    </w:tbl>
    <w:p w14:paraId="7B5A82AE" w14:textId="77777777" w:rsidR="00B22AC5" w:rsidRDefault="00000000">
      <w:pPr>
        <w:pStyle w:val="Heading2"/>
      </w:pPr>
      <w:bookmarkStart w:id="1" w:name="tips"/>
      <w:bookmarkEnd w:id="0"/>
      <w:r>
        <w:t>Tips</w:t>
      </w:r>
    </w:p>
    <w:p w14:paraId="5A5447DE" w14:textId="77777777" w:rsidR="00B22AC5" w:rsidRDefault="00000000">
      <w:pPr>
        <w:numPr>
          <w:ilvl w:val="0"/>
          <w:numId w:val="3"/>
        </w:numPr>
      </w:pPr>
      <w:r>
        <w:t xml:space="preserve">For mitochondrial genes and ribosomol genes you can use the following patterns: </w:t>
      </w:r>
      <w:r>
        <w:rPr>
          <w:rStyle w:val="VerbatimChar"/>
        </w:rPr>
        <w:t>"^mt:"</w:t>
      </w:r>
      <w:r>
        <w:t xml:space="preserve"> and </w:t>
      </w:r>
      <w:r>
        <w:rPr>
          <w:rStyle w:val="VerbatimChar"/>
        </w:rPr>
        <w:t>"^Rp[SL]"</w:t>
      </w:r>
      <w:r>
        <w:t>.</w:t>
      </w:r>
    </w:p>
    <w:p w14:paraId="6E55F6D2" w14:textId="77777777" w:rsidR="00B22AC5" w:rsidRDefault="00000000">
      <w:pPr>
        <w:numPr>
          <w:ilvl w:val="0"/>
          <w:numId w:val="3"/>
        </w:numPr>
      </w:pPr>
      <w:r>
        <w:t>Work iterative; meaning that based on results of an analyis, adjust the previous analysis. For example, if clustering is not according to cell types, try to adjust the number of components or the resolution.</w:t>
      </w:r>
    </w:p>
    <w:p w14:paraId="72EADB0F" w14:textId="77777777" w:rsidR="00B22AC5" w:rsidRDefault="00000000">
      <w:pPr>
        <w:numPr>
          <w:ilvl w:val="0"/>
          <w:numId w:val="3"/>
        </w:numPr>
      </w:pPr>
      <w:r>
        <w:t>Please read the methods section of the paper.</w:t>
      </w:r>
    </w:p>
    <w:p w14:paraId="36E2C98F" w14:textId="77777777" w:rsidR="00B22AC5" w:rsidRDefault="00000000">
      <w:pPr>
        <w:numPr>
          <w:ilvl w:val="0"/>
          <w:numId w:val="3"/>
        </w:numPr>
      </w:pPr>
      <w:r>
        <w:t>If the code for data analysis is available, try to adapt it (for specific parameters).</w:t>
      </w:r>
    </w:p>
    <w:p w14:paraId="355B3736" w14:textId="77777777" w:rsidR="00B22AC5" w:rsidRDefault="00000000">
      <w:pPr>
        <w:numPr>
          <w:ilvl w:val="0"/>
          <w:numId w:val="3"/>
        </w:numPr>
      </w:pPr>
      <w:r>
        <w:t>Check the supplementary figures.</w:t>
      </w:r>
    </w:p>
    <w:p w14:paraId="0761D84E" w14:textId="77777777" w:rsidR="00B22AC5" w:rsidRDefault="00000000">
      <w:pPr>
        <w:numPr>
          <w:ilvl w:val="0"/>
          <w:numId w:val="3"/>
        </w:numPr>
      </w:pPr>
      <w:r>
        <w:t>Try to understand if they used some other tools for the data analysis.</w:t>
      </w:r>
      <w:bookmarkEnd w:id="1"/>
    </w:p>
    <w:sectPr w:rsidR="00B22AC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19833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4DEAA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71569667">
    <w:abstractNumId w:val="0"/>
  </w:num>
  <w:num w:numId="2" w16cid:durableId="724911028">
    <w:abstractNumId w:val="1"/>
  </w:num>
  <w:num w:numId="3" w16cid:durableId="30886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B22AC5"/>
    <w:rsid w:val="000F7C2D"/>
    <w:rsid w:val="003339B3"/>
    <w:rsid w:val="00B22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BB7B7C"/>
  <w15:docId w15:val="{0476D20D-91EA-5447-BAA4-973CDAB71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cbi.nlm.nih.gov/geo/query/acc.cgi?acc=GSE152495" TargetMode="External"/><Relationship Id="rId5" Type="http://schemas.openxmlformats.org/officeDocument/2006/relationships/hyperlink" Target="https://genome.cshlp.org/content/31/10/1927.lo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683</Words>
  <Characters>3896</Characters>
  <Application>Microsoft Office Word</Application>
  <DocSecurity>0</DocSecurity>
  <Lines>32</Lines>
  <Paragraphs>9</Paragraphs>
  <ScaleCrop>false</ScaleCrop>
  <Company/>
  <LinksUpToDate>false</LinksUpToDate>
  <CharactersWithSpaces>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2</dc:title>
  <dc:creator>Deepak Kumar Tanwar</dc:creator>
  <cp:keywords/>
  <cp:lastModifiedBy>Deepak Kumar Tanwar</cp:lastModifiedBy>
  <cp:revision>3</cp:revision>
  <dcterms:created xsi:type="dcterms:W3CDTF">2025-05-16T12:52:00Z</dcterms:created>
  <dcterms:modified xsi:type="dcterms:W3CDTF">2025-05-16T12:52:00Z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_options">
    <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