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9DB1" w14:textId="77777777" w:rsidR="00383440" w:rsidRDefault="00000000">
      <w:pPr>
        <w:pStyle w:val="Title"/>
      </w:pPr>
      <w:r>
        <w:t>Project 3</w:t>
      </w:r>
    </w:p>
    <w:p w14:paraId="3BD04EFE" w14:textId="77777777" w:rsidR="00383440" w:rsidRDefault="00000000">
      <w:pPr>
        <w:pStyle w:val="FirstParagraph"/>
      </w:pPr>
      <w:r>
        <w:t xml:space="preserve">Project 3 focuses on understanding the role of type I interferon (IFN-I) responsiveness in shaping immune outcomes following PD1 blockade therapy; </w:t>
      </w:r>
      <w:hyperlink r:id="rId5">
        <w:r>
          <w:rPr>
            <w:rStyle w:val="Hyperlink"/>
          </w:rPr>
          <w:t>paper</w:t>
        </w:r>
      </w:hyperlink>
      <w:r>
        <w:t xml:space="preserve">. Type I interferons play a dual role in cancer immunotherapy, promoting both anti-tumor immunity and immune suppression through T cell exhaustion. To investigate how pre-existing IFN-I responses influence therapeutic success, this study utilizes scRNA-seq data from </w:t>
      </w:r>
      <w:r>
        <w:rPr>
          <w:b/>
          <w:bCs/>
        </w:rPr>
        <w:t>healthy donors and 8 treated patients</w:t>
      </w:r>
      <w:r>
        <w:t xml:space="preserve"> to analyze transcriptional responses in immune cells.</w:t>
      </w:r>
    </w:p>
    <w:p w14:paraId="417328E3" w14:textId="77777777" w:rsidR="00383440" w:rsidRDefault="00000000">
      <w:pPr>
        <w:pStyle w:val="BodyText"/>
      </w:pPr>
      <w:r>
        <w:t>Unsupervised clustering of transcriptional profiles revealed distinct immune cell populations and IFN-I-induced responses. Differences in IFN-I responsiveness were linked to immune cell states and transcriptional programs that influence therapy outcomes. Patients with lower pre-therapy IFN-I responsiveness in CD4 and CD8 effector T cells (Teff cells) exhibited transcriptional signatures associated with improved immune function, whereas highly responsive Teff cells displayed gene expression patterns linked to immune dysfunction and therapy resistance.</w:t>
      </w:r>
    </w:p>
    <w:p w14:paraId="79F4524B" w14:textId="77777777" w:rsidR="00383440" w:rsidRDefault="00000000">
      <w:pPr>
        <w:pStyle w:val="BodyText"/>
      </w:pPr>
      <w:r>
        <w:t>Further analysis identified epigenetically imprinted IFN-I response states that predefine immune reactivity to therapy. Coexpression and network analyses demonstrated that IFN-I responsiveness influences functional T cell programs and systemic immune coordination. This study provides insights into how pre-existing immune states impact therapeutic success and highlights transcriptional markers that could be used to predict patient outcomes in PD1 blockade immunotherapy.</w:t>
      </w:r>
    </w:p>
    <w:p w14:paraId="2D06128A" w14:textId="77777777" w:rsidR="00383440" w:rsidRDefault="00000000">
      <w:pPr>
        <w:pStyle w:val="Heading2"/>
      </w:pPr>
      <w:bookmarkStart w:id="0" w:name="available-data"/>
      <w:r>
        <w:t>Available data</w:t>
      </w:r>
    </w:p>
    <w:p w14:paraId="5D020562" w14:textId="77777777" w:rsidR="00383440" w:rsidRDefault="00000000">
      <w:pPr>
        <w:pStyle w:val="FirstParagraph"/>
      </w:pPr>
      <w:r>
        <w:t xml:space="preserve">Data has been downloaded and prepared for you from </w:t>
      </w:r>
      <w:hyperlink r:id="rId6">
        <w:r>
          <w:rPr>
            <w:rStyle w:val="Hyperlink"/>
          </w:rPr>
          <w:t>GEO GSE199994</w:t>
        </w:r>
      </w:hyperlink>
      <w:r>
        <w:t>.</w:t>
      </w:r>
    </w:p>
    <w:p w14:paraId="319564DB" w14:textId="77777777" w:rsidR="00383440" w:rsidRDefault="00000000">
      <w:pPr>
        <w:pStyle w:val="BodyText"/>
      </w:pPr>
      <w:proofErr w:type="gramStart"/>
      <w:r>
        <w:t>In order to</w:t>
      </w:r>
      <w:proofErr w:type="gramEnd"/>
      <w:r>
        <w:t xml:space="preserve"> download the data, run:</w:t>
      </w:r>
    </w:p>
    <w:p w14:paraId="6F089586" w14:textId="375D2BEB" w:rsidR="00E95165" w:rsidRDefault="00E95165">
      <w:pPr>
        <w:pStyle w:val="BodyText"/>
      </w:pPr>
      <w:r>
        <w:t>Code starts here:</w:t>
      </w:r>
    </w:p>
    <w:p w14:paraId="4B4B00BF" w14:textId="77777777" w:rsidR="00383440" w:rsidRDefault="00000000">
      <w:pPr>
        <w:pStyle w:val="SourceCode"/>
      </w:pPr>
      <w:r>
        <w:rPr>
          <w:rStyle w:val="FunctionTok"/>
        </w:rPr>
        <w:t>wget</w:t>
      </w:r>
      <w:r>
        <w:rPr>
          <w:rStyle w:val="NormalTok"/>
        </w:rPr>
        <w:t xml:space="preserve"> https://single-cell-transcriptomics.s3.eu-central-1.amazonaws.com/projects/data/project3.tar.gz</w:t>
      </w:r>
      <w:r>
        <w:br/>
      </w:r>
      <w:r>
        <w:rPr>
          <w:rStyle w:val="FunctionTok"/>
        </w:rPr>
        <w:t>tar</w:t>
      </w:r>
      <w:r>
        <w:rPr>
          <w:rStyle w:val="NormalTok"/>
        </w:rPr>
        <w:t xml:space="preserve"> </w:t>
      </w:r>
      <w:r>
        <w:rPr>
          <w:rStyle w:val="AttributeTok"/>
        </w:rPr>
        <w:t>-xzvf</w:t>
      </w:r>
      <w:r>
        <w:rPr>
          <w:rStyle w:val="NormalTok"/>
        </w:rPr>
        <w:t xml:space="preserve"> project3.tar.gz</w:t>
      </w:r>
    </w:p>
    <w:p w14:paraId="17687B67" w14:textId="77777777" w:rsidR="00383440" w:rsidRDefault="00000000">
      <w:pPr>
        <w:pStyle w:val="SourceCode"/>
      </w:pPr>
      <w:r>
        <w:rPr>
          <w:rStyle w:val="VerbatimChar"/>
        </w:rPr>
        <w:t>GSE199994/</w:t>
      </w:r>
      <w:r>
        <w:br/>
      </w:r>
      <w:r>
        <w:rPr>
          <w:rStyle w:val="VerbatimChar"/>
        </w:rPr>
        <w:t>├── data</w:t>
      </w:r>
      <w:r>
        <w:br/>
      </w:r>
      <w:r>
        <w:rPr>
          <w:rStyle w:val="VerbatimChar"/>
        </w:rPr>
        <w:t>│   ├── HD1</w:t>
      </w:r>
      <w:r>
        <w:br/>
      </w:r>
      <w:r>
        <w:rPr>
          <w:rStyle w:val="VerbatimChar"/>
        </w:rPr>
        <w:t>│   │   ├── barcodes.tsv.gz</w:t>
      </w:r>
      <w:r>
        <w:br/>
      </w:r>
      <w:r>
        <w:rPr>
          <w:rStyle w:val="VerbatimChar"/>
        </w:rPr>
        <w:t>│   │   ├── features.tsv.gz</w:t>
      </w:r>
      <w:r>
        <w:br/>
      </w:r>
      <w:r>
        <w:rPr>
          <w:rStyle w:val="VerbatimChar"/>
        </w:rPr>
        <w:t>│   │   └── matrix.mtx.gz</w:t>
      </w:r>
      <w:r>
        <w:br/>
      </w:r>
      <w:r>
        <w:rPr>
          <w:rStyle w:val="VerbatimChar"/>
        </w:rPr>
        <w:t>│   ├── HD2</w:t>
      </w:r>
      <w:r>
        <w:br/>
      </w:r>
      <w:r>
        <w:rPr>
          <w:rStyle w:val="VerbatimChar"/>
        </w:rPr>
        <w:t>│   │   ├── barcodes.tsv.gz</w:t>
      </w:r>
      <w:r>
        <w:br/>
      </w:r>
      <w:r>
        <w:rPr>
          <w:rStyle w:val="VerbatimChar"/>
        </w:rPr>
        <w:t>│   │   ├── features.tsv.gz</w:t>
      </w:r>
      <w:r>
        <w:br/>
      </w:r>
      <w:r>
        <w:rPr>
          <w:rStyle w:val="VerbatimChar"/>
        </w:rPr>
        <w:t>│   │   └── matrix.mtx.gz</w:t>
      </w:r>
      <w:r>
        <w:br/>
      </w:r>
      <w:r>
        <w:rPr>
          <w:rStyle w:val="VerbatimChar"/>
        </w:rPr>
        <w:t>│   ├── P1</w:t>
      </w:r>
      <w:r>
        <w:br/>
      </w:r>
      <w:r>
        <w:rPr>
          <w:rStyle w:val="VerbatimChar"/>
        </w:rPr>
        <w:lastRenderedPageBreak/>
        <w:t>│   │   ├── barcodes.tsv.gz</w:t>
      </w:r>
      <w:r>
        <w:br/>
      </w:r>
      <w:r>
        <w:rPr>
          <w:rStyle w:val="VerbatimChar"/>
        </w:rPr>
        <w:t>│   │   ├── features.tsv.gz</w:t>
      </w:r>
      <w:r>
        <w:br/>
      </w:r>
      <w:r>
        <w:rPr>
          <w:rStyle w:val="VerbatimChar"/>
        </w:rPr>
        <w:t>│   │   └── matrix.mtx.gz</w:t>
      </w:r>
      <w:r>
        <w:br/>
      </w:r>
      <w:r>
        <w:rPr>
          <w:rStyle w:val="VerbatimChar"/>
        </w:rPr>
        <w:t>│   ├── P2</w:t>
      </w:r>
      <w:r>
        <w:br/>
      </w:r>
      <w:r>
        <w:rPr>
          <w:rStyle w:val="VerbatimChar"/>
        </w:rPr>
        <w:t>│   │   ├── barcodes.tsv.gz</w:t>
      </w:r>
      <w:r>
        <w:br/>
      </w:r>
      <w:r>
        <w:rPr>
          <w:rStyle w:val="VerbatimChar"/>
        </w:rPr>
        <w:t>│   │   ├── features.tsv.gz</w:t>
      </w:r>
      <w:r>
        <w:br/>
      </w:r>
      <w:r>
        <w:rPr>
          <w:rStyle w:val="VerbatimChar"/>
        </w:rPr>
        <w:t>│   │   └── matrix.mtx.gz</w:t>
      </w:r>
      <w:r>
        <w:br/>
      </w:r>
      <w:r>
        <w:rPr>
          <w:rStyle w:val="VerbatimChar"/>
        </w:rPr>
        <w:t>│   ├── P3</w:t>
      </w:r>
      <w:r>
        <w:br/>
      </w:r>
      <w:r>
        <w:rPr>
          <w:rStyle w:val="VerbatimChar"/>
        </w:rPr>
        <w:t>│   │   ├── barcodes.tsv.gz</w:t>
      </w:r>
      <w:r>
        <w:br/>
      </w:r>
      <w:r>
        <w:rPr>
          <w:rStyle w:val="VerbatimChar"/>
        </w:rPr>
        <w:t>│   │   ├── features.tsv.gz</w:t>
      </w:r>
      <w:r>
        <w:br/>
      </w:r>
      <w:r>
        <w:rPr>
          <w:rStyle w:val="VerbatimChar"/>
        </w:rPr>
        <w:t>│   │   └── matrix.mtx.gz</w:t>
      </w:r>
      <w:r>
        <w:br/>
      </w:r>
      <w:r>
        <w:rPr>
          <w:rStyle w:val="VerbatimChar"/>
        </w:rPr>
        <w:t>│   ├── P4</w:t>
      </w:r>
      <w:r>
        <w:br/>
      </w:r>
      <w:r>
        <w:rPr>
          <w:rStyle w:val="VerbatimChar"/>
        </w:rPr>
        <w:t>│   │   ├── barcodes.tsv.gz</w:t>
      </w:r>
      <w:r>
        <w:br/>
      </w:r>
      <w:r>
        <w:rPr>
          <w:rStyle w:val="VerbatimChar"/>
        </w:rPr>
        <w:t>│   │   ├── features.tsv.gz</w:t>
      </w:r>
      <w:r>
        <w:br/>
      </w:r>
      <w:r>
        <w:rPr>
          <w:rStyle w:val="VerbatimChar"/>
        </w:rPr>
        <w:t>│   │   └── matrix.mtx.gz</w:t>
      </w:r>
      <w:r>
        <w:br/>
      </w:r>
      <w:r>
        <w:rPr>
          <w:rStyle w:val="VerbatimChar"/>
        </w:rPr>
        <w:t>│   ├── P5</w:t>
      </w:r>
      <w:r>
        <w:br/>
      </w:r>
      <w:r>
        <w:rPr>
          <w:rStyle w:val="VerbatimChar"/>
        </w:rPr>
        <w:t>│   │   ├── barcodes.tsv.gz</w:t>
      </w:r>
      <w:r>
        <w:br/>
      </w:r>
      <w:r>
        <w:rPr>
          <w:rStyle w:val="VerbatimChar"/>
        </w:rPr>
        <w:t>│   │   ├── features.tsv.gz</w:t>
      </w:r>
      <w:r>
        <w:br/>
      </w:r>
      <w:r>
        <w:rPr>
          <w:rStyle w:val="VerbatimChar"/>
        </w:rPr>
        <w:t>│   │   └── matrix.mtx.gz</w:t>
      </w:r>
      <w:r>
        <w:br/>
      </w:r>
      <w:r>
        <w:rPr>
          <w:rStyle w:val="VerbatimChar"/>
        </w:rPr>
        <w:t>│   ├── P6</w:t>
      </w:r>
      <w:r>
        <w:br/>
      </w:r>
      <w:r>
        <w:rPr>
          <w:rStyle w:val="VerbatimChar"/>
        </w:rPr>
        <w:t>│   │   ├── barcodes.tsv.gz</w:t>
      </w:r>
      <w:r>
        <w:br/>
      </w:r>
      <w:r>
        <w:rPr>
          <w:rStyle w:val="VerbatimChar"/>
        </w:rPr>
        <w:t>│   │   ├── features.tsv.gz</w:t>
      </w:r>
      <w:r>
        <w:br/>
      </w:r>
      <w:r>
        <w:rPr>
          <w:rStyle w:val="VerbatimChar"/>
        </w:rPr>
        <w:t>│   │   └── matrix.mtx.gz</w:t>
      </w:r>
      <w:r>
        <w:br/>
      </w:r>
      <w:r>
        <w:rPr>
          <w:rStyle w:val="VerbatimChar"/>
        </w:rPr>
        <w:t>│   ├── P7</w:t>
      </w:r>
      <w:r>
        <w:br/>
      </w:r>
      <w:r>
        <w:rPr>
          <w:rStyle w:val="VerbatimChar"/>
        </w:rPr>
        <w:t>│   │   ├── barcodes.tsv.gz</w:t>
      </w:r>
      <w:r>
        <w:br/>
      </w:r>
      <w:r>
        <w:rPr>
          <w:rStyle w:val="VerbatimChar"/>
        </w:rPr>
        <w:t>│   │   ├── features.tsv.gz</w:t>
      </w:r>
      <w:r>
        <w:br/>
      </w:r>
      <w:r>
        <w:rPr>
          <w:rStyle w:val="VerbatimChar"/>
        </w:rPr>
        <w:t>│   │   └── matrix.mtx.gz</w:t>
      </w:r>
      <w:r>
        <w:br/>
      </w:r>
      <w:r>
        <w:rPr>
          <w:rStyle w:val="VerbatimChar"/>
        </w:rPr>
        <w:t>│   └── P8</w:t>
      </w:r>
      <w:r>
        <w:br/>
      </w:r>
      <w:r>
        <w:rPr>
          <w:rStyle w:val="VerbatimChar"/>
        </w:rPr>
        <w:t>│       ├── barcodes.tsv.gz</w:t>
      </w:r>
      <w:r>
        <w:br/>
      </w:r>
      <w:r>
        <w:rPr>
          <w:rStyle w:val="VerbatimChar"/>
        </w:rPr>
        <w:t>│       ├── features.tsv.gz</w:t>
      </w:r>
      <w:r>
        <w:br/>
      </w:r>
      <w:r>
        <w:rPr>
          <w:rStyle w:val="VerbatimChar"/>
        </w:rPr>
        <w:t>│       └── matrix.mtx.gz</w:t>
      </w:r>
      <w:r>
        <w:br/>
      </w:r>
      <w:r>
        <w:rPr>
          <w:rStyle w:val="VerbatimChar"/>
        </w:rPr>
        <w:t>└── paper.pdf</w:t>
      </w:r>
    </w:p>
    <w:p w14:paraId="1E52D3FE" w14:textId="77777777" w:rsidR="00383440" w:rsidRDefault="00000000">
      <w:pPr>
        <w:pStyle w:val="FirstParagraph"/>
      </w:pPr>
      <w:r>
        <w:t>Showing us that we have two replicates of healthy donors and 8 of treatment:</w:t>
      </w:r>
    </w:p>
    <w:p w14:paraId="6A9B8C3D" w14:textId="77777777" w:rsidR="00383440" w:rsidRDefault="00000000">
      <w:pPr>
        <w:pStyle w:val="Compact"/>
        <w:numPr>
          <w:ilvl w:val="0"/>
          <w:numId w:val="2"/>
        </w:numPr>
      </w:pPr>
      <w:r>
        <w:t>HD: controls</w:t>
      </w:r>
    </w:p>
    <w:p w14:paraId="6C5FFF9C" w14:textId="77777777" w:rsidR="00383440" w:rsidRDefault="00000000">
      <w:pPr>
        <w:pStyle w:val="Compact"/>
        <w:numPr>
          <w:ilvl w:val="0"/>
          <w:numId w:val="2"/>
        </w:numPr>
      </w:pPr>
      <w:r>
        <w:t>P: treatments</w:t>
      </w:r>
    </w:p>
    <w:p w14:paraId="39DE02C0" w14:textId="77777777" w:rsidR="00383440" w:rsidRDefault="00000000">
      <w:pPr>
        <w:pStyle w:val="FirstParagraph"/>
      </w:pPr>
      <w:r>
        <w:t>Use the following code to read the data files in R, and create a combined Seurat object:</w:t>
      </w:r>
    </w:p>
    <w:p w14:paraId="1613ABF8" w14:textId="0BB90E08" w:rsidR="00E95165" w:rsidRPr="00E95165" w:rsidRDefault="00E95165" w:rsidP="00E95165">
      <w:pPr>
        <w:pStyle w:val="BodyText"/>
      </w:pPr>
      <w:r>
        <w:t>Code starts here:</w:t>
      </w:r>
    </w:p>
    <w:p w14:paraId="151C5BFD" w14:textId="77777777" w:rsidR="00383440" w:rsidRDefault="00000000">
      <w:pPr>
        <w:pStyle w:val="SourceCode"/>
      </w:pPr>
      <w:r>
        <w:rPr>
          <w:rStyle w:val="FunctionTok"/>
        </w:rPr>
        <w:t>library</w:t>
      </w:r>
      <w:r>
        <w:rPr>
          <w:rStyle w:val="NormalTok"/>
        </w:rPr>
        <w:t>(Seurat)</w:t>
      </w:r>
      <w:r>
        <w:br/>
      </w:r>
      <w:r>
        <w:rPr>
          <w:rStyle w:val="CommentTok"/>
        </w:rPr>
        <w:t># vector of paths to all sample directories</w:t>
      </w:r>
      <w:r>
        <w:br/>
      </w:r>
      <w:r>
        <w:rPr>
          <w:rStyle w:val="NormalTok"/>
        </w:rPr>
        <w:t xml:space="preserve">datadirs </w:t>
      </w:r>
      <w:r>
        <w:rPr>
          <w:rStyle w:val="OtherTok"/>
        </w:rPr>
        <w:t>&lt;-</w:t>
      </w:r>
      <w:r>
        <w:rPr>
          <w:rStyle w:val="NormalTok"/>
        </w:rPr>
        <w:t xml:space="preserve"> </w:t>
      </w:r>
      <w:r>
        <w:rPr>
          <w:rStyle w:val="FunctionTok"/>
        </w:rPr>
        <w:t>list.files</w:t>
      </w:r>
      <w:r>
        <w:rPr>
          <w:rStyle w:val="NormalTok"/>
        </w:rPr>
        <w:t>(</w:t>
      </w:r>
      <w:r>
        <w:rPr>
          <w:rStyle w:val="AttributeTok"/>
        </w:rPr>
        <w:t>path =</w:t>
      </w:r>
      <w:r>
        <w:rPr>
          <w:rStyle w:val="NormalTok"/>
        </w:rPr>
        <w:t xml:space="preserve"> </w:t>
      </w:r>
      <w:r>
        <w:rPr>
          <w:rStyle w:val="StringTok"/>
        </w:rPr>
        <w:t>"data"</w:t>
      </w:r>
      <w:r>
        <w:rPr>
          <w:rStyle w:val="NormalTok"/>
        </w:rPr>
        <w:t xml:space="preserve">, </w:t>
      </w:r>
      <w:r>
        <w:rPr>
          <w:rStyle w:val="AttributeTok"/>
        </w:rPr>
        <w:t>full.names =</w:t>
      </w:r>
      <w:r>
        <w:rPr>
          <w:rStyle w:val="NormalTok"/>
        </w:rPr>
        <w:t xml:space="preserve"> </w:t>
      </w:r>
      <w:r>
        <w:rPr>
          <w:rStyle w:val="ConstantTok"/>
        </w:rPr>
        <w:t>TRUE</w:t>
      </w:r>
      <w:r>
        <w:rPr>
          <w:rStyle w:val="NormalTok"/>
        </w:rPr>
        <w:t>)</w:t>
      </w:r>
      <w:r>
        <w:br/>
      </w:r>
      <w:r>
        <w:br/>
      </w:r>
      <w:r>
        <w:rPr>
          <w:rStyle w:val="CommentTok"/>
        </w:rPr>
        <w:t># get the sample names</w:t>
      </w:r>
      <w:r>
        <w:br/>
      </w:r>
      <w:r>
        <w:rPr>
          <w:rStyle w:val="CommentTok"/>
        </w:rPr>
        <w:t># replace underscores with hyphen to correctly extract sample names later on</w:t>
      </w:r>
      <w:r>
        <w:br/>
      </w:r>
      <w:r>
        <w:rPr>
          <w:rStyle w:val="FunctionTok"/>
        </w:rPr>
        <w:t>names</w:t>
      </w:r>
      <w:r>
        <w:rPr>
          <w:rStyle w:val="NormalTok"/>
        </w:rPr>
        <w:t xml:space="preserve">(datadirs) </w:t>
      </w:r>
      <w:r>
        <w:rPr>
          <w:rStyle w:val="OtherTok"/>
        </w:rPr>
        <w:t>&lt;-</w:t>
      </w:r>
      <w:r>
        <w:rPr>
          <w:rStyle w:val="NormalTok"/>
        </w:rPr>
        <w:t xml:space="preserve"> </w:t>
      </w:r>
      <w:r>
        <w:rPr>
          <w:rStyle w:val="FunctionTok"/>
        </w:rPr>
        <w:t>basename</w:t>
      </w:r>
      <w:r>
        <w:rPr>
          <w:rStyle w:val="NormalTok"/>
        </w:rPr>
        <w:t xml:space="preserve">(datadirs) </w:t>
      </w:r>
      <w:r>
        <w:rPr>
          <w:rStyle w:val="SpecialCharTok"/>
        </w:rPr>
        <w:t>|&gt;</w:t>
      </w:r>
      <w:r>
        <w:rPr>
          <w:rStyle w:val="NormalTok"/>
        </w:rPr>
        <w:t xml:space="preserve"> </w:t>
      </w:r>
      <w:r>
        <w:rPr>
          <w:rStyle w:val="FunctionTok"/>
        </w:rPr>
        <w:t>gsub</w:t>
      </w:r>
      <w:r>
        <w:rPr>
          <w:rStyle w:val="NormalTok"/>
        </w:rPr>
        <w:t>(</w:t>
      </w:r>
      <w:r>
        <w:rPr>
          <w:rStyle w:val="StringTok"/>
        </w:rPr>
        <w:t>"_"</w:t>
      </w:r>
      <w:r>
        <w:rPr>
          <w:rStyle w:val="NormalTok"/>
        </w:rPr>
        <w:t xml:space="preserve">, </w:t>
      </w:r>
      <w:r>
        <w:rPr>
          <w:rStyle w:val="StringTok"/>
        </w:rPr>
        <w:t>"-"</w:t>
      </w:r>
      <w:r>
        <w:rPr>
          <w:rStyle w:val="NormalTok"/>
        </w:rPr>
        <w:t xml:space="preserve">, </w:t>
      </w:r>
      <w:r>
        <w:rPr>
          <w:rStyle w:val="AttributeTok"/>
        </w:rPr>
        <w:t>x =</w:t>
      </w:r>
      <w:r>
        <w:rPr>
          <w:rStyle w:val="NormalTok"/>
        </w:rPr>
        <w:t xml:space="preserve"> _) </w:t>
      </w:r>
      <w:r>
        <w:br/>
      </w:r>
      <w:r>
        <w:br/>
      </w:r>
      <w:r>
        <w:rPr>
          <w:rStyle w:val="CommentTok"/>
        </w:rPr>
        <w:lastRenderedPageBreak/>
        <w:t># for now, we only take two samples per condition</w:t>
      </w:r>
      <w:r>
        <w:br/>
      </w:r>
      <w:r>
        <w:rPr>
          <w:rStyle w:val="NormalTok"/>
        </w:rPr>
        <w:t xml:space="preserve">datadirs </w:t>
      </w:r>
      <w:r>
        <w:rPr>
          <w:rStyle w:val="OtherTok"/>
        </w:rPr>
        <w:t>&lt;-</w:t>
      </w:r>
      <w:r>
        <w:rPr>
          <w:rStyle w:val="NormalTok"/>
        </w:rPr>
        <w:t xml:space="preserve"> datadirs[</w:t>
      </w:r>
      <w:r>
        <w:rPr>
          <w:rStyle w:val="FunctionTok"/>
        </w:rPr>
        <w:t>c</w:t>
      </w:r>
      <w:r>
        <w:rPr>
          <w:rStyle w:val="NormalTok"/>
        </w:rPr>
        <w:t>(</w:t>
      </w:r>
      <w:r>
        <w:rPr>
          <w:rStyle w:val="StringTok"/>
        </w:rPr>
        <w:t>"HD1"</w:t>
      </w:r>
      <w:r>
        <w:rPr>
          <w:rStyle w:val="NormalTok"/>
        </w:rPr>
        <w:t xml:space="preserve">, </w:t>
      </w:r>
      <w:r>
        <w:rPr>
          <w:rStyle w:val="StringTok"/>
        </w:rPr>
        <w:t>"HD2"</w:t>
      </w:r>
      <w:r>
        <w:rPr>
          <w:rStyle w:val="NormalTok"/>
        </w:rPr>
        <w:t xml:space="preserve">, </w:t>
      </w:r>
      <w:r>
        <w:rPr>
          <w:rStyle w:val="StringTok"/>
        </w:rPr>
        <w:t>"P1"</w:t>
      </w:r>
      <w:r>
        <w:rPr>
          <w:rStyle w:val="NormalTok"/>
        </w:rPr>
        <w:t xml:space="preserve">, </w:t>
      </w:r>
      <w:r>
        <w:rPr>
          <w:rStyle w:val="StringTok"/>
        </w:rPr>
        <w:t>"P2"</w:t>
      </w:r>
      <w:r>
        <w:rPr>
          <w:rStyle w:val="NormalTok"/>
        </w:rPr>
        <w:t>)]</w:t>
      </w:r>
      <w:r>
        <w:br/>
      </w:r>
      <w:r>
        <w:br/>
      </w:r>
      <w:r>
        <w:rPr>
          <w:rStyle w:val="CommentTok"/>
        </w:rPr>
        <w:t># create a large sparse matrix from all count data</w:t>
      </w:r>
      <w:r>
        <w:br/>
      </w:r>
      <w:r>
        <w:rPr>
          <w:rStyle w:val="NormalTok"/>
        </w:rPr>
        <w:t xml:space="preserve">sparse_matrix </w:t>
      </w:r>
      <w:r>
        <w:rPr>
          <w:rStyle w:val="OtherTok"/>
        </w:rPr>
        <w:t>&lt;-</w:t>
      </w:r>
      <w:r>
        <w:rPr>
          <w:rStyle w:val="NormalTok"/>
        </w:rPr>
        <w:t xml:space="preserve"> Seurat</w:t>
      </w:r>
      <w:r>
        <w:rPr>
          <w:rStyle w:val="SpecialCharTok"/>
        </w:rPr>
        <w:t>::</w:t>
      </w:r>
      <w:r>
        <w:rPr>
          <w:rStyle w:val="FunctionTok"/>
        </w:rPr>
        <w:t>Read10X</w:t>
      </w:r>
      <w:r>
        <w:rPr>
          <w:rStyle w:val="NormalTok"/>
        </w:rPr>
        <w:t>(</w:t>
      </w:r>
      <w:r>
        <w:rPr>
          <w:rStyle w:val="AttributeTok"/>
        </w:rPr>
        <w:t>data.dir =</w:t>
      </w:r>
      <w:r>
        <w:rPr>
          <w:rStyle w:val="NormalTok"/>
        </w:rPr>
        <w:t xml:space="preserve"> datadirs)</w:t>
      </w:r>
      <w:r>
        <w:br/>
      </w:r>
      <w:r>
        <w:br/>
      </w:r>
      <w:r>
        <w:rPr>
          <w:rStyle w:val="CommentTok"/>
        </w:rPr>
        <w:t># create a seurat object from sparse matrix</w:t>
      </w:r>
      <w:r>
        <w:br/>
      </w:r>
      <w:r>
        <w:rPr>
          <w:rStyle w:val="NormalTok"/>
        </w:rPr>
        <w:t xml:space="preserve">seu </w:t>
      </w:r>
      <w:r>
        <w:rPr>
          <w:rStyle w:val="OtherTok"/>
        </w:rPr>
        <w:t>&lt;-</w:t>
      </w:r>
      <w:r>
        <w:rPr>
          <w:rStyle w:val="NormalTok"/>
        </w:rPr>
        <w:t xml:space="preserve"> Seurat</w:t>
      </w:r>
      <w:r>
        <w:rPr>
          <w:rStyle w:val="SpecialCharTok"/>
        </w:rPr>
        <w:t>::</w:t>
      </w:r>
      <w:r>
        <w:rPr>
          <w:rStyle w:val="FunctionTok"/>
        </w:rPr>
        <w:t>CreateSeuratObject</w:t>
      </w:r>
      <w:r>
        <w:rPr>
          <w:rStyle w:val="NormalTok"/>
        </w:rPr>
        <w:t>(</w:t>
      </w:r>
      <w:r>
        <w:rPr>
          <w:rStyle w:val="AttributeTok"/>
        </w:rPr>
        <w:t>counts =</w:t>
      </w:r>
      <w:r>
        <w:rPr>
          <w:rStyle w:val="NormalTok"/>
        </w:rPr>
        <w:t xml:space="preserve"> sparse_matrix,</w:t>
      </w:r>
      <w:r>
        <w:br/>
      </w:r>
      <w:r>
        <w:rPr>
          <w:rStyle w:val="NormalTok"/>
        </w:rPr>
        <w:t xml:space="preserve">                                  </w:t>
      </w:r>
      <w:r>
        <w:rPr>
          <w:rStyle w:val="AttributeTok"/>
        </w:rPr>
        <w:t>project =</w:t>
      </w:r>
      <w:r>
        <w:rPr>
          <w:rStyle w:val="NormalTok"/>
        </w:rPr>
        <w:t xml:space="preserve"> </w:t>
      </w:r>
      <w:r>
        <w:rPr>
          <w:rStyle w:val="StringTok"/>
        </w:rPr>
        <w:t>"InterferonStudy"</w:t>
      </w:r>
      <w:r>
        <w:rPr>
          <w:rStyle w:val="NormalTok"/>
        </w:rPr>
        <w:t>)</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383440" w14:paraId="6AB19BEE" w14:textId="77777777" w:rsidTr="00383440">
        <w:trPr>
          <w:cantSplit/>
        </w:trPr>
        <w:tc>
          <w:tcPr>
            <w:tcW w:w="0" w:type="auto"/>
            <w:shd w:val="clear" w:color="auto" w:fill="F7DDDC"/>
            <w:tcMar>
              <w:top w:w="92" w:type="dxa"/>
              <w:bottom w:w="92" w:type="dxa"/>
            </w:tcMar>
          </w:tcPr>
          <w:p w14:paraId="7C01C363" w14:textId="77777777" w:rsidR="00383440" w:rsidRDefault="00000000">
            <w:pPr>
              <w:pStyle w:val="FirstParagraph"/>
              <w:spacing w:before="0" w:after="0"/>
              <w:textAlignment w:val="center"/>
            </w:pPr>
            <w:r>
              <w:rPr>
                <w:noProof/>
              </w:rPr>
              <w:drawing>
                <wp:inline distT="0" distB="0" distL="0" distR="0" wp14:anchorId="4124F789" wp14:editId="4239259A">
                  <wp:extent cx="152400" cy="1524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pplications/RStudio.app/Contents/Resources/app/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Project exercise</w:t>
            </w:r>
          </w:p>
        </w:tc>
      </w:tr>
      <w:tr w:rsidR="00383440" w14:paraId="3F02FFA7" w14:textId="77777777" w:rsidTr="00383440">
        <w:trPr>
          <w:cantSplit/>
        </w:trPr>
        <w:tc>
          <w:tcPr>
            <w:tcW w:w="0" w:type="auto"/>
            <w:tcMar>
              <w:top w:w="108" w:type="dxa"/>
              <w:bottom w:w="108" w:type="dxa"/>
            </w:tcMar>
          </w:tcPr>
          <w:p w14:paraId="3AB7FA1D" w14:textId="77777777" w:rsidR="00383440" w:rsidRDefault="00000000">
            <w:pPr>
              <w:pStyle w:val="BodyText"/>
              <w:spacing w:before="16" w:after="16"/>
            </w:pPr>
            <w:r>
              <w:t>with this dataset, go through the steps we have performed during the course, and try to reproduce the results provided in the paper. Pay specific attention to quality control, clustering and annotation.</w:t>
            </w:r>
          </w:p>
        </w:tc>
      </w:tr>
    </w:tbl>
    <w:p w14:paraId="711690B1" w14:textId="77777777" w:rsidR="00383440" w:rsidRDefault="00000000">
      <w:pPr>
        <w:pStyle w:val="Heading2"/>
      </w:pPr>
      <w:bookmarkStart w:id="1" w:name="tips"/>
      <w:bookmarkEnd w:id="0"/>
      <w:r>
        <w:t>Tips</w:t>
      </w:r>
    </w:p>
    <w:p w14:paraId="09B9CD24" w14:textId="77777777" w:rsidR="00383440" w:rsidRDefault="00000000">
      <w:pPr>
        <w:numPr>
          <w:ilvl w:val="0"/>
          <w:numId w:val="3"/>
        </w:numPr>
      </w:pPr>
      <w:r>
        <w:t xml:space="preserve">For mitochondrial genes, ribosomol genes and hemoglobin genes you can use the following patterns: </w:t>
      </w:r>
      <w:r>
        <w:rPr>
          <w:rStyle w:val="VerbatimChar"/>
        </w:rPr>
        <w:t>"^MT-"</w:t>
      </w:r>
      <w:r>
        <w:t xml:space="preserve">, </w:t>
      </w:r>
      <w:r>
        <w:rPr>
          <w:rStyle w:val="VerbatimChar"/>
        </w:rPr>
        <w:t>"^RP[SL]"</w:t>
      </w:r>
      <w:r>
        <w:t xml:space="preserve"> and </w:t>
      </w:r>
      <w:r>
        <w:rPr>
          <w:rStyle w:val="VerbatimChar"/>
        </w:rPr>
        <w:t>"^HB[^(P)]"</w:t>
      </w:r>
      <w:r>
        <w:t>.</w:t>
      </w:r>
    </w:p>
    <w:p w14:paraId="37FF94B4" w14:textId="77777777" w:rsidR="00383440" w:rsidRDefault="00000000">
      <w:pPr>
        <w:numPr>
          <w:ilvl w:val="0"/>
          <w:numId w:val="3"/>
        </w:numPr>
      </w:pPr>
      <w:r>
        <w:t>Work iterative; meaning that based on results of an analyis, adjust the previous analysis. For example, if clustering is not according to cell types, try to adjust the number of components or the resolution.</w:t>
      </w:r>
    </w:p>
    <w:p w14:paraId="62F880D3" w14:textId="77777777" w:rsidR="00383440" w:rsidRDefault="00000000">
      <w:pPr>
        <w:numPr>
          <w:ilvl w:val="0"/>
          <w:numId w:val="3"/>
        </w:numPr>
      </w:pPr>
      <w:r>
        <w:t>Please read the methods section of the paper.</w:t>
      </w:r>
    </w:p>
    <w:p w14:paraId="72730AC5" w14:textId="77777777" w:rsidR="00383440" w:rsidRDefault="00000000">
      <w:pPr>
        <w:numPr>
          <w:ilvl w:val="0"/>
          <w:numId w:val="3"/>
        </w:numPr>
      </w:pPr>
      <w:r>
        <w:t>If the code for data analysis is available, try to adapt it (for specific parameters).</w:t>
      </w:r>
    </w:p>
    <w:p w14:paraId="42712BE4" w14:textId="77777777" w:rsidR="00383440" w:rsidRDefault="00000000">
      <w:pPr>
        <w:numPr>
          <w:ilvl w:val="0"/>
          <w:numId w:val="3"/>
        </w:numPr>
      </w:pPr>
      <w:r>
        <w:t>Check the supplementary figures.</w:t>
      </w:r>
    </w:p>
    <w:p w14:paraId="0AAD9B21" w14:textId="77777777" w:rsidR="00383440" w:rsidRDefault="00000000">
      <w:pPr>
        <w:numPr>
          <w:ilvl w:val="0"/>
          <w:numId w:val="3"/>
        </w:numPr>
      </w:pPr>
      <w:r>
        <w:t>Try to understand if they used some other tools for the data analysis.</w:t>
      </w:r>
      <w:bookmarkEnd w:id="1"/>
    </w:p>
    <w:sectPr w:rsidR="0038344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80C2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E0B7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35394725">
    <w:abstractNumId w:val="0"/>
  </w:num>
  <w:num w:numId="2" w16cid:durableId="906913880">
    <w:abstractNumId w:val="1"/>
  </w:num>
  <w:num w:numId="3" w16cid:durableId="305742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383440"/>
    <w:rsid w:val="003339B3"/>
    <w:rsid w:val="00383440"/>
    <w:rsid w:val="008237BF"/>
    <w:rsid w:val="00E9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FE42FB"/>
  <w15:docId w15:val="{0476D20D-91EA-5447-BAA4-973CDAB71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geo/query/acc.cgi?acc=GSE199994" TargetMode="External"/><Relationship Id="rId5" Type="http://schemas.openxmlformats.org/officeDocument/2006/relationships/hyperlink" Target="https://www.nature.com/articles/s41590-022-01262-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dc:title>
  <dc:creator/>
  <cp:keywords/>
  <cp:lastModifiedBy>Deepak Kumar Tanwar</cp:lastModifiedBy>
  <cp:revision>3</cp:revision>
  <dcterms:created xsi:type="dcterms:W3CDTF">2025-05-16T12:50:00Z</dcterms:created>
  <dcterms:modified xsi:type="dcterms:W3CDTF">2025-05-16T12:52:00Z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