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58CDB" w14:textId="77777777" w:rsidR="001A1817" w:rsidRDefault="00000000">
      <w:pPr>
        <w:pStyle w:val="Title"/>
      </w:pPr>
      <w:r>
        <w:t>Dimensionality reduction</w:t>
      </w:r>
    </w:p>
    <w:p w14:paraId="08D97D5C" w14:textId="77777777" w:rsidR="001A1817" w:rsidRDefault="00000000">
      <w:pPr>
        <w:pStyle w:val="Heading2"/>
      </w:pPr>
      <w:bookmarkStart w:id="0" w:name="material"/>
      <w:r>
        <w:t>Material</w:t>
      </w:r>
    </w:p>
    <w:p w14:paraId="1AAAF70F" w14:textId="77777777" w:rsidR="001A1817" w:rsidRDefault="00000000">
      <w:pPr>
        <w:pStyle w:val="FirstParagraph"/>
      </w:pPr>
      <w:hyperlink r:id="rId5">
        <w:r>
          <w:rPr>
            <w:rStyle w:val="Hyperlink"/>
          </w:rPr>
          <w:t>https://youtu.be/QS6ZH_41b4s?si=fvaNGkqjsIcxTEFn</w:t>
        </w:r>
      </w:hyperlink>
    </w:p>
    <w:p w14:paraId="2BD4BC9D" w14:textId="77777777" w:rsidR="001A1817" w:rsidRDefault="00000000">
      <w:pPr>
        <w:pStyle w:val="Compact"/>
        <w:numPr>
          <w:ilvl w:val="0"/>
          <w:numId w:val="2"/>
        </w:numPr>
      </w:pPr>
      <w:r>
        <w:t xml:space="preserve">Making sense of </w:t>
      </w:r>
      <w:hyperlink r:id="rId6">
        <w:r>
          <w:rPr>
            <w:rStyle w:val="Hyperlink"/>
          </w:rPr>
          <w:t>PCA</w:t>
        </w:r>
      </w:hyperlink>
    </w:p>
    <w:p w14:paraId="1B54956D" w14:textId="77777777" w:rsidR="001A1817" w:rsidRDefault="00000000">
      <w:pPr>
        <w:pStyle w:val="Compact"/>
        <w:numPr>
          <w:ilvl w:val="0"/>
          <w:numId w:val="2"/>
        </w:numPr>
      </w:pPr>
      <w:r>
        <w:t xml:space="preserve">Understanding </w:t>
      </w:r>
      <w:hyperlink r:id="rId7">
        <w:r>
          <w:rPr>
            <w:rStyle w:val="Hyperlink"/>
          </w:rPr>
          <w:t>t-SNE</w:t>
        </w:r>
      </w:hyperlink>
    </w:p>
    <w:p w14:paraId="16F52787" w14:textId="77777777" w:rsidR="001A1817" w:rsidRDefault="00000000">
      <w:pPr>
        <w:pStyle w:val="Compact"/>
        <w:numPr>
          <w:ilvl w:val="0"/>
          <w:numId w:val="2"/>
        </w:numPr>
      </w:pPr>
      <w:hyperlink r:id="rId8">
        <w:r>
          <w:rPr>
            <w:rStyle w:val="Hyperlink"/>
          </w:rPr>
          <w:t>t-SNE explained</w:t>
        </w:r>
      </w:hyperlink>
      <w:r>
        <w:t xml:space="preserve"> by Josh Starmer</w:t>
      </w:r>
    </w:p>
    <w:p w14:paraId="55FA30F8" w14:textId="77777777" w:rsidR="001A1817" w:rsidRDefault="00000000">
      <w:pPr>
        <w:pStyle w:val="Compact"/>
        <w:numPr>
          <w:ilvl w:val="0"/>
          <w:numId w:val="2"/>
        </w:numPr>
      </w:pPr>
      <w:r>
        <w:t xml:space="preserve">Understanding </w:t>
      </w:r>
      <w:hyperlink r:id="rId9">
        <w:r>
          <w:rPr>
            <w:rStyle w:val="Hyperlink"/>
          </w:rPr>
          <w:t>UMAP</w:t>
        </w:r>
      </w:hyperlink>
    </w:p>
    <w:p w14:paraId="7A358C82" w14:textId="77777777" w:rsidR="001A1817" w:rsidRDefault="00000000">
      <w:pPr>
        <w:pStyle w:val="Compact"/>
        <w:numPr>
          <w:ilvl w:val="0"/>
          <w:numId w:val="2"/>
        </w:numPr>
      </w:pPr>
      <w:hyperlink r:id="rId10">
        <w:r>
          <w:rPr>
            <w:rStyle w:val="Hyperlink"/>
          </w:rPr>
          <w:t>Video</w:t>
        </w:r>
      </w:hyperlink>
      <w:r>
        <w:t xml:space="preserve"> by one of the UMAP authors</w:t>
      </w:r>
    </w:p>
    <w:p w14:paraId="735C3F13" w14:textId="77777777" w:rsidR="001A1817" w:rsidRDefault="00000000">
      <w:pPr>
        <w:pStyle w:val="Compact"/>
        <w:numPr>
          <w:ilvl w:val="0"/>
          <w:numId w:val="2"/>
        </w:numPr>
      </w:pPr>
      <w:r>
        <w:t xml:space="preserve">More info on </w:t>
      </w:r>
      <w:hyperlink r:id="rId11">
        <w:r>
          <w:rPr>
            <w:rStyle w:val="Hyperlink"/>
          </w:rPr>
          <w:t>UMAP parameters</w:t>
        </w:r>
      </w:hyperlink>
    </w:p>
    <w:p w14:paraId="34ECB2AA" w14:textId="77777777" w:rsidR="001A1817" w:rsidRDefault="00000000">
      <w:pPr>
        <w:pStyle w:val="Heading2"/>
      </w:pPr>
      <w:bookmarkStart w:id="1" w:name="exercises"/>
      <w:bookmarkEnd w:id="0"/>
      <w:r>
        <w:t>Exercises</w:t>
      </w:r>
    </w:p>
    <w:p w14:paraId="778EF9D9" w14:textId="77777777" w:rsidR="001A1817" w:rsidRDefault="00000000">
      <w:pPr>
        <w:pStyle w:val="FirstParagraph"/>
      </w:pPr>
      <w:r>
        <w:t xml:space="preserve">Load the </w:t>
      </w:r>
      <w:r>
        <w:rPr>
          <w:rStyle w:val="VerbatimChar"/>
        </w:rPr>
        <w:t>seu</w:t>
      </w:r>
      <w:r>
        <w:t xml:space="preserve"> dataset you have created yesterday:</w:t>
      </w:r>
    </w:p>
    <w:p w14:paraId="48AAA60C" w14:textId="55B0F9D1" w:rsidR="00EF15E8" w:rsidRPr="00EF15E8" w:rsidRDefault="00EF15E8" w:rsidP="00EF15E8">
      <w:pPr>
        <w:pStyle w:val="BodyText"/>
      </w:pPr>
      <w:r>
        <w:t>Code starts here:</w:t>
      </w:r>
    </w:p>
    <w:p w14:paraId="4313EEB8" w14:textId="77777777" w:rsidR="001A1817" w:rsidRDefault="00000000">
      <w:pPr>
        <w:pStyle w:val="SourceCode"/>
      </w:pPr>
      <w:r>
        <w:rPr>
          <w:rStyle w:val="NormalTok"/>
        </w:rPr>
        <w:t xml:space="preserve">seu </w:t>
      </w:r>
      <w:r>
        <w:rPr>
          <w:rStyle w:val="OtherTok"/>
        </w:rPr>
        <w:t>&lt;-</w:t>
      </w:r>
      <w:r>
        <w:rPr>
          <w:rStyle w:val="NormalTok"/>
        </w:rPr>
        <w:t xml:space="preserve"> </w:t>
      </w:r>
      <w:r>
        <w:rPr>
          <w:rStyle w:val="FunctionTok"/>
        </w:rPr>
        <w:t>readRDS</w:t>
      </w:r>
      <w:r>
        <w:rPr>
          <w:rStyle w:val="NormalTok"/>
        </w:rPr>
        <w:t>(</w:t>
      </w:r>
      <w:r>
        <w:rPr>
          <w:rStyle w:val="StringTok"/>
        </w:rPr>
        <w:t>"day2/seu_day2-1.rds"</w:t>
      </w:r>
      <w:r>
        <w:rPr>
          <w:rStyle w:val="NormalTok"/>
        </w:rPr>
        <w:t>)</w:t>
      </w:r>
    </w:p>
    <w:p w14:paraId="6EB9F078" w14:textId="77777777" w:rsidR="001A1817" w:rsidRDefault="00000000">
      <w:pPr>
        <w:pStyle w:val="FirstParagraph"/>
      </w:pPr>
      <w:r>
        <w:t>And load the following packages:</w:t>
      </w:r>
    </w:p>
    <w:p w14:paraId="313E2BF1" w14:textId="392891F8" w:rsidR="00EF15E8" w:rsidRPr="00EF15E8" w:rsidRDefault="00EF15E8" w:rsidP="00EF15E8">
      <w:pPr>
        <w:pStyle w:val="BodyText"/>
      </w:pPr>
      <w:r>
        <w:t>Code starts here:</w:t>
      </w:r>
    </w:p>
    <w:p w14:paraId="6E4B0D73" w14:textId="77777777" w:rsidR="001A1817" w:rsidRDefault="00000000">
      <w:pPr>
        <w:pStyle w:val="SourceCode"/>
      </w:pPr>
      <w:r>
        <w:rPr>
          <w:rStyle w:val="FunctionTok"/>
        </w:rPr>
        <w:t>library</w:t>
      </w:r>
      <w:r>
        <w:rPr>
          <w:rStyle w:val="NormalTok"/>
        </w:rPr>
        <w:t>(Seurat)</w:t>
      </w:r>
    </w:p>
    <w:p w14:paraId="504FD728" w14:textId="77777777" w:rsidR="001A1817" w:rsidRDefault="00000000">
      <w:pPr>
        <w:pStyle w:val="FirstParagraph"/>
      </w:pPr>
      <w:r>
        <w:t xml:space="preserve">Once the data is normalized, scaled and variable features have been identified, we can start to reduce the dimensionality of the data. For the PCA, by default, only the previously determined variable features are used as input, but can be defined using features argument if you wish to specify a vector of genes. The PCA will only be run on the variable features, that you can check with </w:t>
      </w:r>
      <w:r>
        <w:rPr>
          <w:rStyle w:val="VerbatimChar"/>
        </w:rPr>
        <w:t>VariableFeatures(seu)</w:t>
      </w:r>
      <w:r>
        <w:t>.</w:t>
      </w:r>
    </w:p>
    <w:p w14:paraId="5276AFA9" w14:textId="2E3DD284" w:rsidR="00EF15E8" w:rsidRPr="00EF15E8" w:rsidRDefault="00EF15E8" w:rsidP="00EF15E8">
      <w:pPr>
        <w:pStyle w:val="BodyText"/>
      </w:pPr>
      <w:r>
        <w:t>Code starts here:</w:t>
      </w:r>
    </w:p>
    <w:p w14:paraId="21FE0667" w14:textId="77777777" w:rsidR="001A1817" w:rsidRDefault="00000000">
      <w:pPr>
        <w:pStyle w:val="SourceCode"/>
      </w:pPr>
      <w:r>
        <w:rPr>
          <w:rStyle w:val="NormalTok"/>
        </w:rPr>
        <w:t xml:space="preserve">seu </w:t>
      </w:r>
      <w:r>
        <w:rPr>
          <w:rStyle w:val="OtherTok"/>
        </w:rPr>
        <w:t>&lt;-</w:t>
      </w:r>
      <w:r>
        <w:rPr>
          <w:rStyle w:val="NormalTok"/>
        </w:rPr>
        <w:t xml:space="preserve"> Seurat</w:t>
      </w:r>
      <w:r>
        <w:rPr>
          <w:rStyle w:val="SpecialCharTok"/>
        </w:rPr>
        <w:t>::</w:t>
      </w:r>
      <w:r>
        <w:rPr>
          <w:rStyle w:val="FunctionTok"/>
        </w:rPr>
        <w:t>RunPCA</w:t>
      </w:r>
      <w:r>
        <w:rPr>
          <w:rStyle w:val="NormalTok"/>
        </w:rPr>
        <w:t>(seu)</w:t>
      </w:r>
    </w:p>
    <w:p w14:paraId="29487456" w14:textId="77777777" w:rsidR="001A1817" w:rsidRDefault="00000000">
      <w:pPr>
        <w:pStyle w:val="FirstParagraph"/>
      </w:pPr>
      <w:r>
        <w:t>To view the PCA plot:</w:t>
      </w:r>
    </w:p>
    <w:p w14:paraId="48C31928" w14:textId="7FA8FB4E" w:rsidR="00EF15E8" w:rsidRPr="00EF15E8" w:rsidRDefault="00EF15E8" w:rsidP="00EF15E8">
      <w:pPr>
        <w:pStyle w:val="BodyText"/>
      </w:pPr>
      <w:r>
        <w:t>Code starts here:</w:t>
      </w:r>
    </w:p>
    <w:p w14:paraId="5BA3D5B1" w14:textId="77777777" w:rsidR="001A1817" w:rsidRDefault="00000000">
      <w:pPr>
        <w:pStyle w:val="SourceCode"/>
      </w:pPr>
      <w:r>
        <w:rPr>
          <w:rStyle w:val="NormalTok"/>
        </w:rPr>
        <w:t>Seurat</w:t>
      </w:r>
      <w:r>
        <w:rPr>
          <w:rStyle w:val="SpecialCharTok"/>
        </w:rPr>
        <w:t>::</w:t>
      </w:r>
      <w:r>
        <w:rPr>
          <w:rStyle w:val="FunctionTok"/>
        </w:rPr>
        <w:t>DimPlot</w:t>
      </w:r>
      <w:r>
        <w:rPr>
          <w:rStyle w:val="NormalTok"/>
        </w:rPr>
        <w:t xml:space="preserve">(seu, </w:t>
      </w:r>
      <w:r>
        <w:rPr>
          <w:rStyle w:val="AttributeTok"/>
        </w:rPr>
        <w:t>reduction =</w:t>
      </w:r>
      <w:r>
        <w:rPr>
          <w:rStyle w:val="NormalTok"/>
        </w:rPr>
        <w:t xml:space="preserve"> </w:t>
      </w:r>
      <w:r>
        <w:rPr>
          <w:rStyle w:val="StringTok"/>
        </w:rPr>
        <w:t>"pca"</w:t>
      </w:r>
      <w:r>
        <w:rPr>
          <w:rStyle w:val="NormalTok"/>
        </w:rPr>
        <w:t>)</w:t>
      </w:r>
    </w:p>
    <w:p w14:paraId="3749C7F6" w14:textId="77777777" w:rsidR="001A1817" w:rsidRDefault="00000000">
      <w:pPr>
        <w:pStyle w:val="FirstParagraph"/>
      </w:pPr>
      <w:r>
        <w:rPr>
          <w:noProof/>
        </w:rPr>
        <w:lastRenderedPageBreak/>
        <w:drawing>
          <wp:inline distT="0" distB="0" distL="0" distR="0" wp14:anchorId="51576E90" wp14:editId="22397816">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day2-2_dimensionality_reduction_files/figure-docx/unnamed-chunk-4-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2488E7FC" w14:textId="77777777" w:rsidR="001A1817" w:rsidRDefault="00000000">
      <w:pPr>
        <w:pStyle w:val="BodyText"/>
      </w:pPr>
      <w:r>
        <w:t xml:space="preserve">We can colour the PCA plot according to any factor that is present in </w:t>
      </w:r>
      <w:r>
        <w:rPr>
          <w:rStyle w:val="VerbatimChar"/>
        </w:rPr>
        <w:t>@meta.data</w:t>
      </w:r>
      <w:r>
        <w:t xml:space="preserve">, or for any gene. For example we can take the column </w:t>
      </w:r>
      <w:r>
        <w:rPr>
          <w:rStyle w:val="VerbatimChar"/>
        </w:rPr>
        <w:t>percent.globin</w:t>
      </w:r>
      <w:r>
        <w:t>:</w:t>
      </w:r>
    </w:p>
    <w:p w14:paraId="5BCB24CA" w14:textId="1B4F4CB3" w:rsidR="00EF15E8" w:rsidRDefault="00EF15E8">
      <w:pPr>
        <w:pStyle w:val="BodyText"/>
      </w:pPr>
      <w:r>
        <w:t>Code starts here:</w:t>
      </w:r>
    </w:p>
    <w:p w14:paraId="33386A31" w14:textId="77777777" w:rsidR="001A1817" w:rsidRDefault="00000000">
      <w:pPr>
        <w:pStyle w:val="SourceCode"/>
      </w:pPr>
      <w:r>
        <w:rPr>
          <w:rStyle w:val="NormalTok"/>
        </w:rPr>
        <w:t>Seurat</w:t>
      </w:r>
      <w:r>
        <w:rPr>
          <w:rStyle w:val="SpecialCharTok"/>
        </w:rPr>
        <w:t>::</w:t>
      </w:r>
      <w:r>
        <w:rPr>
          <w:rStyle w:val="FunctionTok"/>
        </w:rPr>
        <w:t>FeaturePlot</w:t>
      </w:r>
      <w:r>
        <w:rPr>
          <w:rStyle w:val="NormalTok"/>
        </w:rPr>
        <w:t xml:space="preserve">(seu, </w:t>
      </w:r>
      <w:r>
        <w:rPr>
          <w:rStyle w:val="AttributeTok"/>
        </w:rPr>
        <w:t>reduction =</w:t>
      </w:r>
      <w:r>
        <w:rPr>
          <w:rStyle w:val="NormalTok"/>
        </w:rPr>
        <w:t xml:space="preserve"> </w:t>
      </w:r>
      <w:r>
        <w:rPr>
          <w:rStyle w:val="StringTok"/>
        </w:rPr>
        <w:t>"pca"</w:t>
      </w:r>
      <w:r>
        <w:rPr>
          <w:rStyle w:val="NormalTok"/>
        </w:rPr>
        <w:t xml:space="preserve">, </w:t>
      </w:r>
      <w:r>
        <w:rPr>
          <w:rStyle w:val="AttributeTok"/>
        </w:rPr>
        <w:t>features =</w:t>
      </w:r>
      <w:r>
        <w:rPr>
          <w:rStyle w:val="NormalTok"/>
        </w:rPr>
        <w:t xml:space="preserve"> </w:t>
      </w:r>
      <w:r>
        <w:rPr>
          <w:rStyle w:val="StringTok"/>
        </w:rPr>
        <w:t>"percent.globin"</w:t>
      </w:r>
      <w:r>
        <w:rPr>
          <w:rStyle w:val="NormalTok"/>
        </w:rPr>
        <w:t>)</w:t>
      </w:r>
    </w:p>
    <w:p w14:paraId="164EA3C2" w14:textId="77777777" w:rsidR="001A1817" w:rsidRDefault="00000000">
      <w:pPr>
        <w:pStyle w:val="SourceCode"/>
      </w:pPr>
      <w:r>
        <w:rPr>
          <w:rStyle w:val="VerbatimChar"/>
        </w:rPr>
        <w:t>Warning: The `slot` argument of `FetchData()` is deprecated as of SeuratObject 5.0.0.</w:t>
      </w:r>
      <w:r>
        <w:br/>
      </w:r>
      <w:r>
        <w:rPr>
          <w:rStyle w:val="VerbatimChar"/>
        </w:rPr>
        <w:t>ℹ Please use the `layer` argument instead.</w:t>
      </w:r>
      <w:r>
        <w:br/>
      </w:r>
      <w:r>
        <w:rPr>
          <w:rStyle w:val="VerbatimChar"/>
        </w:rPr>
        <w:t>ℹ The deprecated feature was likely used in the Seurat package.</w:t>
      </w:r>
      <w:r>
        <w:br/>
      </w:r>
      <w:r>
        <w:rPr>
          <w:rStyle w:val="VerbatimChar"/>
        </w:rPr>
        <w:t xml:space="preserve">  Please report the issue at &lt;https://github.com/satijalab/seurat/issues&gt;.</w:t>
      </w:r>
    </w:p>
    <w:p w14:paraId="61ED07AA" w14:textId="77777777" w:rsidR="001A1817" w:rsidRDefault="00000000">
      <w:pPr>
        <w:pStyle w:val="FirstParagraph"/>
      </w:pPr>
      <w:r>
        <w:rPr>
          <w:noProof/>
        </w:rPr>
        <w:lastRenderedPageBreak/>
        <w:drawing>
          <wp:inline distT="0" distB="0" distL="0" distR="0" wp14:anchorId="11C09B71" wp14:editId="2518016A">
            <wp:extent cx="5334000" cy="42672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day2-2_dimensionality_reduction_files/figure-docx/unnamed-chunk-5-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1A1817" w14:paraId="470872D1" w14:textId="77777777" w:rsidTr="001A1817">
        <w:trPr>
          <w:cantSplit/>
        </w:trPr>
        <w:tc>
          <w:tcPr>
            <w:tcW w:w="0" w:type="auto"/>
            <w:shd w:val="clear" w:color="auto" w:fill="DAE6FB"/>
            <w:tcMar>
              <w:top w:w="92" w:type="dxa"/>
              <w:bottom w:w="92" w:type="dxa"/>
            </w:tcMar>
          </w:tcPr>
          <w:p w14:paraId="5D4BFBD1" w14:textId="77777777" w:rsidR="001A1817" w:rsidRDefault="00000000">
            <w:pPr>
              <w:pStyle w:val="BodyText"/>
              <w:spacing w:before="0" w:after="0"/>
              <w:textAlignment w:val="center"/>
            </w:pPr>
            <w:r>
              <w:rPr>
                <w:noProof/>
              </w:rPr>
              <w:drawing>
                <wp:inline distT="0" distB="0" distL="0" distR="0" wp14:anchorId="24FAFE4D" wp14:editId="4BFA8BB1">
                  <wp:extent cx="152400" cy="1524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Applications/RStudio.app/Contents/Resources/app/quarto/share/formats/docx/note.png"/>
                          <pic:cNvPicPr>
                            <a:picLocks noChangeAspect="1" noChangeArrowheads="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1A1817" w14:paraId="18ED4BAC" w14:textId="77777777" w:rsidTr="001A1817">
        <w:trPr>
          <w:cantSplit/>
        </w:trPr>
        <w:tc>
          <w:tcPr>
            <w:tcW w:w="0" w:type="auto"/>
            <w:tcMar>
              <w:top w:w="108" w:type="dxa"/>
              <w:bottom w:w="108" w:type="dxa"/>
            </w:tcMar>
          </w:tcPr>
          <w:p w14:paraId="2A29995D" w14:textId="77777777" w:rsidR="001A1817" w:rsidRDefault="00000000">
            <w:pPr>
              <w:pStyle w:val="BodyText"/>
              <w:spacing w:before="16" w:after="16"/>
            </w:pPr>
            <w:r>
              <w:t xml:space="preserve">Note that we used a different plotting function here: </w:t>
            </w:r>
            <w:r>
              <w:rPr>
                <w:rStyle w:val="VerbatimChar"/>
              </w:rPr>
              <w:t>FeaturePlot</w:t>
            </w:r>
            <w:r>
              <w:t xml:space="preserve">. The difference between </w:t>
            </w:r>
            <w:r>
              <w:rPr>
                <w:rStyle w:val="VerbatimChar"/>
              </w:rPr>
              <w:t>DimPlot</w:t>
            </w:r>
            <w:r>
              <w:t xml:space="preserve"> and </w:t>
            </w:r>
            <w:r>
              <w:rPr>
                <w:rStyle w:val="VerbatimChar"/>
              </w:rPr>
              <w:t>FeaturePlot</w:t>
            </w:r>
            <w:r>
              <w:t xml:space="preserve"> is that the first allows you to color the points in the plot according to a grouping variable (e.g. sample) while the latter allows you to color the points according to a continuous variable (e.g. gene expression).</w:t>
            </w:r>
          </w:p>
        </w:tc>
      </w:tr>
    </w:tbl>
    <w:p w14:paraId="627CB284" w14:textId="77777777" w:rsidR="001A1817" w:rsidRDefault="00000000">
      <w:pPr>
        <w:pStyle w:val="BodyText"/>
      </w:pPr>
      <w:r>
        <w:t xml:space="preserve"> </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1A1817" w14:paraId="0031D16E" w14:textId="77777777" w:rsidTr="001A1817">
        <w:trPr>
          <w:cantSplit/>
        </w:trPr>
        <w:tc>
          <w:tcPr>
            <w:tcW w:w="0" w:type="auto"/>
            <w:shd w:val="clear" w:color="auto" w:fill="F7DDDC"/>
            <w:tcMar>
              <w:top w:w="92" w:type="dxa"/>
              <w:bottom w:w="92" w:type="dxa"/>
            </w:tcMar>
          </w:tcPr>
          <w:p w14:paraId="64D95229" w14:textId="77777777" w:rsidR="001A1817" w:rsidRDefault="00000000">
            <w:pPr>
              <w:pStyle w:val="BodyText"/>
              <w:spacing w:before="0" w:after="0"/>
              <w:textAlignment w:val="center"/>
            </w:pPr>
            <w:r>
              <w:rPr>
                <w:noProof/>
              </w:rPr>
              <w:drawing>
                <wp:inline distT="0" distB="0" distL="0" distR="0" wp14:anchorId="65CDD639" wp14:editId="24A02924">
                  <wp:extent cx="152400" cy="1524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Applications/RStudio.app/Contents/Resources/app/quarto/share/formats/docx/important.png"/>
                          <pic:cNvPicPr>
                            <a:picLocks noChangeAspect="1" noChangeArrowheads="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1A1817" w14:paraId="2649EFCE" w14:textId="77777777" w:rsidTr="001A1817">
        <w:trPr>
          <w:cantSplit/>
        </w:trPr>
        <w:tc>
          <w:tcPr>
            <w:tcW w:w="0" w:type="auto"/>
            <w:tcMar>
              <w:top w:w="108" w:type="dxa"/>
              <w:bottom w:w="108" w:type="dxa"/>
            </w:tcMar>
          </w:tcPr>
          <w:p w14:paraId="123C16F8" w14:textId="77777777" w:rsidR="001A1817" w:rsidRDefault="00000000">
            <w:pPr>
              <w:pStyle w:val="BodyText"/>
              <w:spacing w:before="16" w:after="16"/>
            </w:pPr>
            <w:r>
              <w:t xml:space="preserve">Generate a PCA plot where color is according to counts of a gene (i.e. gene expression). For example, you can take </w:t>
            </w:r>
            <w:r>
              <w:rPr>
                <w:rStyle w:val="VerbatimChar"/>
              </w:rPr>
              <w:t>HBA1</w:t>
            </w:r>
            <w:r>
              <w:t xml:space="preserve"> (alpha subunit of hemoglobin), or one of the most variable genes (e.g. </w:t>
            </w:r>
            <w:r>
              <w:rPr>
                <w:rStyle w:val="VerbatimChar"/>
              </w:rPr>
              <w:t>IGKC</w:t>
            </w:r>
            <w:r>
              <w:t>).</w:t>
            </w:r>
          </w:p>
        </w:tc>
      </w:tr>
    </w:tbl>
    <w:p w14:paraId="7D816D28" w14:textId="77777777" w:rsidR="001A1817"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1A1817" w14:paraId="2E39B4B4" w14:textId="77777777" w:rsidTr="001A1817">
        <w:trPr>
          <w:cantSplit/>
        </w:trPr>
        <w:tc>
          <w:tcPr>
            <w:tcW w:w="0" w:type="auto"/>
            <w:shd w:val="clear" w:color="auto" w:fill="CCF1E3"/>
            <w:tcMar>
              <w:top w:w="92" w:type="dxa"/>
              <w:bottom w:w="92" w:type="dxa"/>
            </w:tcMar>
          </w:tcPr>
          <w:p w14:paraId="69459A34" w14:textId="77777777" w:rsidR="001A1817" w:rsidRDefault="00000000">
            <w:pPr>
              <w:pStyle w:val="BodyText"/>
              <w:spacing w:before="0" w:after="0"/>
              <w:textAlignment w:val="center"/>
            </w:pPr>
            <w:r>
              <w:rPr>
                <w:noProof/>
              </w:rPr>
              <w:drawing>
                <wp:inline distT="0" distB="0" distL="0" distR="0" wp14:anchorId="2F571B27" wp14:editId="3BB96F2D">
                  <wp:extent cx="152400" cy="1524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Applications/RStudio.app/Contents/Resources/app/quarto/share/formats/docx/tip.png"/>
                          <pic:cNvPicPr>
                            <a:picLocks noChangeAspect="1" noChangeArrowheads="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1A1817" w14:paraId="2130FDD6" w14:textId="77777777" w:rsidTr="001A1817">
        <w:trPr>
          <w:cantSplit/>
        </w:trPr>
        <w:tc>
          <w:tcPr>
            <w:tcW w:w="0" w:type="auto"/>
            <w:tcMar>
              <w:top w:w="108" w:type="dxa"/>
              <w:bottom w:w="108" w:type="dxa"/>
            </w:tcMar>
          </w:tcPr>
          <w:p w14:paraId="76D621DF" w14:textId="77777777" w:rsidR="001A1817" w:rsidRDefault="00000000">
            <w:pPr>
              <w:pStyle w:val="BodyText"/>
              <w:spacing w:before="16"/>
            </w:pPr>
            <w:r>
              <w:lastRenderedPageBreak/>
              <w:t xml:space="preserve">Generating a PCA plot coloured according to gene expression (here </w:t>
            </w:r>
            <w:r>
              <w:rPr>
                <w:rStyle w:val="VerbatimChar"/>
              </w:rPr>
              <w:t>HBA1</w:t>
            </w:r>
            <w:r>
              <w:t>):</w:t>
            </w:r>
          </w:p>
          <w:p w14:paraId="6308FBB9" w14:textId="6AADC531" w:rsidR="00EF15E8" w:rsidRDefault="00EF15E8">
            <w:pPr>
              <w:pStyle w:val="BodyText"/>
              <w:spacing w:before="16"/>
            </w:pPr>
            <w:r>
              <w:t>Code starts here:</w:t>
            </w:r>
          </w:p>
          <w:p w14:paraId="0FDE68F7" w14:textId="77777777" w:rsidR="001A1817" w:rsidRDefault="00000000">
            <w:pPr>
              <w:pStyle w:val="SourceCode"/>
            </w:pPr>
            <w:r>
              <w:rPr>
                <w:rStyle w:val="NormalTok"/>
              </w:rPr>
              <w:t>Seurat</w:t>
            </w:r>
            <w:r>
              <w:rPr>
                <w:rStyle w:val="SpecialCharTok"/>
              </w:rPr>
              <w:t>::</w:t>
            </w:r>
            <w:r>
              <w:rPr>
                <w:rStyle w:val="FunctionTok"/>
              </w:rPr>
              <w:t>FeaturePlot</w:t>
            </w:r>
            <w:r>
              <w:rPr>
                <w:rStyle w:val="NormalTok"/>
              </w:rPr>
              <w:t xml:space="preserve">(seu, </w:t>
            </w:r>
            <w:r>
              <w:rPr>
                <w:rStyle w:val="AttributeTok"/>
              </w:rPr>
              <w:t>reduction =</w:t>
            </w:r>
            <w:r>
              <w:rPr>
                <w:rStyle w:val="NormalTok"/>
              </w:rPr>
              <w:t xml:space="preserve"> </w:t>
            </w:r>
            <w:r>
              <w:rPr>
                <w:rStyle w:val="StringTok"/>
              </w:rPr>
              <w:t>"pca"</w:t>
            </w:r>
            <w:r>
              <w:rPr>
                <w:rStyle w:val="NormalTok"/>
              </w:rPr>
              <w:t xml:space="preserve">, </w:t>
            </w:r>
            <w:r>
              <w:rPr>
                <w:rStyle w:val="AttributeTok"/>
              </w:rPr>
              <w:t>features =</w:t>
            </w:r>
            <w:r>
              <w:rPr>
                <w:rStyle w:val="NormalTok"/>
              </w:rPr>
              <w:t xml:space="preserve"> </w:t>
            </w:r>
            <w:r>
              <w:rPr>
                <w:rStyle w:val="StringTok"/>
              </w:rPr>
              <w:t>"HBA1"</w:t>
            </w:r>
            <w:r>
              <w:rPr>
                <w:rStyle w:val="NormalTok"/>
              </w:rPr>
              <w:t>)</w:t>
            </w:r>
          </w:p>
          <w:p w14:paraId="626D966F" w14:textId="77777777" w:rsidR="001A1817" w:rsidRDefault="00000000">
            <w:pPr>
              <w:pStyle w:val="FirstParagraph"/>
            </w:pPr>
            <w:r>
              <w:rPr>
                <w:noProof/>
              </w:rPr>
              <w:drawing>
                <wp:inline distT="0" distB="0" distL="0" distR="0" wp14:anchorId="53EADA2D" wp14:editId="73C0DF77">
                  <wp:extent cx="5334000" cy="42672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day2-2_dimensionality_reduction_files/figure-docx/unnamed-chunk-6-1.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tc>
      </w:tr>
    </w:tbl>
    <w:p w14:paraId="6F86C897" w14:textId="77777777" w:rsidR="001A1817" w:rsidRDefault="00000000">
      <w:pPr>
        <w:pStyle w:val="BodyText"/>
      </w:pPr>
      <w:r>
        <w:t>We can generate heatmaps according to their principal component scores calculated in the rotation matrix:</w:t>
      </w:r>
    </w:p>
    <w:p w14:paraId="5697FA3C" w14:textId="1F67B3A4" w:rsidR="00EF15E8" w:rsidRDefault="00EF15E8">
      <w:pPr>
        <w:pStyle w:val="BodyText"/>
      </w:pPr>
      <w:r>
        <w:t>Code starts here:</w:t>
      </w:r>
    </w:p>
    <w:p w14:paraId="20CA3E7F" w14:textId="77777777" w:rsidR="001A1817" w:rsidRDefault="00000000">
      <w:pPr>
        <w:pStyle w:val="SourceCode"/>
      </w:pPr>
      <w:r>
        <w:rPr>
          <w:rStyle w:val="NormalTok"/>
        </w:rPr>
        <w:t>Seurat</w:t>
      </w:r>
      <w:r>
        <w:rPr>
          <w:rStyle w:val="SpecialCharTok"/>
        </w:rPr>
        <w:t>::</w:t>
      </w:r>
      <w:r>
        <w:rPr>
          <w:rStyle w:val="FunctionTok"/>
        </w:rPr>
        <w:t>DimHeatmap</w:t>
      </w:r>
      <w:r>
        <w:rPr>
          <w:rStyle w:val="NormalTok"/>
        </w:rPr>
        <w:t xml:space="preserve">(seu, </w:t>
      </w:r>
      <w:r>
        <w:rPr>
          <w:rStyle w:val="AttributeTok"/>
        </w:rPr>
        <w:t>dims =</w:t>
      </w:r>
      <w:r>
        <w:rPr>
          <w:rStyle w:val="NormalTok"/>
        </w:rPr>
        <w:t xml:space="preserve"> </w:t>
      </w:r>
      <w:r>
        <w:rPr>
          <w:rStyle w:val="DecValTok"/>
        </w:rPr>
        <w:t>1</w:t>
      </w:r>
      <w:r>
        <w:rPr>
          <w:rStyle w:val="SpecialCharTok"/>
        </w:rPr>
        <w:t>:</w:t>
      </w:r>
      <w:r>
        <w:rPr>
          <w:rStyle w:val="DecValTok"/>
        </w:rPr>
        <w:t>12</w:t>
      </w:r>
      <w:r>
        <w:rPr>
          <w:rStyle w:val="NormalTok"/>
        </w:rPr>
        <w:t xml:space="preserve">, </w:t>
      </w:r>
      <w:r>
        <w:rPr>
          <w:rStyle w:val="AttributeTok"/>
        </w:rPr>
        <w:t>cells =</w:t>
      </w:r>
      <w:r>
        <w:rPr>
          <w:rStyle w:val="NormalTok"/>
        </w:rPr>
        <w:t xml:space="preserve"> </w:t>
      </w:r>
      <w:r>
        <w:rPr>
          <w:rStyle w:val="DecValTok"/>
        </w:rPr>
        <w:t>500</w:t>
      </w:r>
      <w:r>
        <w:rPr>
          <w:rStyle w:val="NormalTok"/>
        </w:rPr>
        <w:t xml:space="preserve">, </w:t>
      </w:r>
      <w:r>
        <w:rPr>
          <w:rStyle w:val="AttributeTok"/>
        </w:rPr>
        <w:t>balanced =</w:t>
      </w:r>
      <w:r>
        <w:rPr>
          <w:rStyle w:val="NormalTok"/>
        </w:rPr>
        <w:t xml:space="preserve"> </w:t>
      </w:r>
      <w:r>
        <w:rPr>
          <w:rStyle w:val="ConstantTok"/>
        </w:rPr>
        <w:t>TRUE</w:t>
      </w:r>
      <w:r>
        <w:rPr>
          <w:rStyle w:val="NormalTok"/>
        </w:rPr>
        <w:t>)</w:t>
      </w:r>
    </w:p>
    <w:p w14:paraId="09CC485C" w14:textId="77777777" w:rsidR="001A1817" w:rsidRDefault="00000000">
      <w:pPr>
        <w:pStyle w:val="FirstParagraph"/>
      </w:pPr>
      <w:r>
        <w:rPr>
          <w:noProof/>
        </w:rPr>
        <w:lastRenderedPageBreak/>
        <w:drawing>
          <wp:inline distT="0" distB="0" distL="0" distR="0" wp14:anchorId="4949C061" wp14:editId="2D663583">
            <wp:extent cx="5334000" cy="42672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day2-2_dimensionality_reduction_files/figure-docx/unnamed-chunk-7-1.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14:paraId="7D00AA10" w14:textId="77777777" w:rsidR="001A1817" w:rsidRDefault="00000000">
      <w:pPr>
        <w:pStyle w:val="BodyText"/>
      </w:pPr>
      <w:r>
        <w:t>The elbowplot can help you in determining how many PCs to use for downstream analysis such as UMAP:</w:t>
      </w:r>
    </w:p>
    <w:p w14:paraId="3E3670FC" w14:textId="499946B8" w:rsidR="00EF15E8" w:rsidRDefault="00EF15E8">
      <w:pPr>
        <w:pStyle w:val="BodyText"/>
      </w:pPr>
      <w:r>
        <w:t>Code starts here:</w:t>
      </w:r>
    </w:p>
    <w:p w14:paraId="1D89344E" w14:textId="77777777" w:rsidR="001A1817" w:rsidRDefault="00000000">
      <w:pPr>
        <w:pStyle w:val="SourceCode"/>
      </w:pPr>
      <w:r>
        <w:rPr>
          <w:rStyle w:val="NormalTok"/>
        </w:rPr>
        <w:t>Seurat</w:t>
      </w:r>
      <w:r>
        <w:rPr>
          <w:rStyle w:val="SpecialCharTok"/>
        </w:rPr>
        <w:t>::</w:t>
      </w:r>
      <w:r>
        <w:rPr>
          <w:rStyle w:val="FunctionTok"/>
        </w:rPr>
        <w:t>ElbowPlot</w:t>
      </w:r>
      <w:r>
        <w:rPr>
          <w:rStyle w:val="NormalTok"/>
        </w:rPr>
        <w:t xml:space="preserve">(seu, </w:t>
      </w:r>
      <w:r>
        <w:rPr>
          <w:rStyle w:val="AttributeTok"/>
        </w:rPr>
        <w:t>ndims =</w:t>
      </w:r>
      <w:r>
        <w:rPr>
          <w:rStyle w:val="NormalTok"/>
        </w:rPr>
        <w:t xml:space="preserve"> </w:t>
      </w:r>
      <w:r>
        <w:rPr>
          <w:rStyle w:val="DecValTok"/>
        </w:rPr>
        <w:t>40</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geom_vline</w:t>
      </w:r>
      <w:r>
        <w:rPr>
          <w:rStyle w:val="NormalTok"/>
        </w:rPr>
        <w:t>(</w:t>
      </w:r>
      <w:r>
        <w:rPr>
          <w:rStyle w:val="AttributeTok"/>
        </w:rPr>
        <w:t>xintercept =</w:t>
      </w:r>
      <w:r>
        <w:rPr>
          <w:rStyle w:val="NormalTok"/>
        </w:rPr>
        <w:t xml:space="preserve"> </w:t>
      </w:r>
      <w:r>
        <w:rPr>
          <w:rStyle w:val="DecValTok"/>
        </w:rPr>
        <w:t>25</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AttributeTok"/>
        </w:rPr>
        <w:t>linewidth =</w:t>
      </w:r>
      <w:r>
        <w:rPr>
          <w:rStyle w:val="NormalTok"/>
        </w:rPr>
        <w:t xml:space="preserve"> </w:t>
      </w:r>
      <w:r>
        <w:rPr>
          <w:rStyle w:val="DecValTok"/>
        </w:rPr>
        <w:t>1</w:t>
      </w:r>
      <w:r>
        <w:rPr>
          <w:rStyle w:val="NormalTok"/>
        </w:rPr>
        <w:t>)</w:t>
      </w:r>
    </w:p>
    <w:p w14:paraId="33A85DFE" w14:textId="77777777" w:rsidR="001A1817" w:rsidRDefault="00000000">
      <w:pPr>
        <w:pStyle w:val="FirstParagraph"/>
      </w:pPr>
      <w:r>
        <w:rPr>
          <w:noProof/>
        </w:rPr>
        <w:lastRenderedPageBreak/>
        <w:drawing>
          <wp:inline distT="0" distB="0" distL="0" distR="0" wp14:anchorId="451FA820" wp14:editId="6A819CAE">
            <wp:extent cx="5334000" cy="42672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day2-2_dimensionality_reduction_files/figure-docx/unnamed-chunk-8-1.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14:paraId="5D2AA1F4" w14:textId="77777777" w:rsidR="001A1817" w:rsidRDefault="00000000">
      <w:pPr>
        <w:pStyle w:val="BodyText"/>
      </w:pPr>
      <w:r>
        <w:t>The elbow plot ranks principle components based on the percentage of variance explained by each one. Where we observe an “elbow” or flattening curve, the majority of true signal is captured by this number of PCs, eg around 25 PCs for the seu dataset.</w:t>
      </w:r>
    </w:p>
    <w:p w14:paraId="4793EED3" w14:textId="77777777" w:rsidR="001A1817" w:rsidRDefault="00000000">
      <w:pPr>
        <w:pStyle w:val="BodyText"/>
      </w:pPr>
      <w:r>
        <w:t>Including too many PCs usually does not affect much the result, while including too few PCs can affect the results very much.</w:t>
      </w:r>
    </w:p>
    <w:p w14:paraId="113DDEAF" w14:textId="77777777" w:rsidR="001A1817" w:rsidRDefault="00000000">
      <w:pPr>
        <w:pStyle w:val="BodyText"/>
      </w:pPr>
      <w:r>
        <w:rPr>
          <w:b/>
          <w:bCs/>
        </w:rPr>
        <w:t>UMAP:</w:t>
      </w:r>
      <w:r>
        <w:t xml:space="preserve"> The goal of these algorithms is to learn the underlying manifold of the data in order to place similar cells together in low-dimensional space.</w:t>
      </w:r>
    </w:p>
    <w:p w14:paraId="71FF7FD5" w14:textId="71D80776" w:rsidR="00EF15E8" w:rsidRDefault="00EF15E8">
      <w:pPr>
        <w:pStyle w:val="BodyText"/>
      </w:pPr>
      <w:r>
        <w:t>Code starts here:</w:t>
      </w:r>
    </w:p>
    <w:p w14:paraId="0D94A4BD" w14:textId="77777777" w:rsidR="001A1817" w:rsidRDefault="00000000">
      <w:pPr>
        <w:pStyle w:val="SourceCode"/>
      </w:pPr>
      <w:r>
        <w:rPr>
          <w:rStyle w:val="NormalTok"/>
        </w:rPr>
        <w:t xml:space="preserve">seu </w:t>
      </w:r>
      <w:r>
        <w:rPr>
          <w:rStyle w:val="OtherTok"/>
        </w:rPr>
        <w:t>&lt;-</w:t>
      </w:r>
      <w:r>
        <w:rPr>
          <w:rStyle w:val="NormalTok"/>
        </w:rPr>
        <w:t xml:space="preserve"> Seurat</w:t>
      </w:r>
      <w:r>
        <w:rPr>
          <w:rStyle w:val="SpecialCharTok"/>
        </w:rPr>
        <w:t>::</w:t>
      </w:r>
      <w:r>
        <w:rPr>
          <w:rStyle w:val="FunctionTok"/>
        </w:rPr>
        <w:t>RunUMAP</w:t>
      </w:r>
      <w:r>
        <w:rPr>
          <w:rStyle w:val="NormalTok"/>
        </w:rPr>
        <w:t xml:space="preserve">(seu, </w:t>
      </w:r>
      <w:r>
        <w:rPr>
          <w:rStyle w:val="AttributeTok"/>
        </w:rPr>
        <w:t>dims =</w:t>
      </w:r>
      <w:r>
        <w:rPr>
          <w:rStyle w:val="NormalTok"/>
        </w:rPr>
        <w:t xml:space="preserve"> </w:t>
      </w:r>
      <w:r>
        <w:rPr>
          <w:rStyle w:val="DecValTok"/>
        </w:rPr>
        <w:t>1</w:t>
      </w:r>
      <w:r>
        <w:rPr>
          <w:rStyle w:val="SpecialCharTok"/>
        </w:rPr>
        <w:t>:</w:t>
      </w:r>
      <w:r>
        <w:rPr>
          <w:rStyle w:val="DecValTok"/>
        </w:rPr>
        <w:t>25</w:t>
      </w:r>
      <w:r>
        <w:rPr>
          <w:rStyle w:val="NormalTok"/>
        </w:rPr>
        <w:t>)</w:t>
      </w:r>
    </w:p>
    <w:p w14:paraId="1A808CE0" w14:textId="77777777" w:rsidR="001A1817" w:rsidRDefault="00000000">
      <w:pPr>
        <w:pStyle w:val="FirstParagraph"/>
      </w:pPr>
      <w:r>
        <w:t>To view the UMAP plot:</w:t>
      </w:r>
    </w:p>
    <w:p w14:paraId="61AE7609" w14:textId="7CF31CCC" w:rsidR="00EF15E8" w:rsidRPr="00EF15E8" w:rsidRDefault="00EF15E8" w:rsidP="00EF15E8">
      <w:pPr>
        <w:pStyle w:val="BodyText"/>
      </w:pPr>
      <w:r>
        <w:t>Code starts here:</w:t>
      </w:r>
    </w:p>
    <w:p w14:paraId="50A93947" w14:textId="77777777" w:rsidR="001A1817" w:rsidRDefault="00000000">
      <w:pPr>
        <w:pStyle w:val="SourceCode"/>
      </w:pPr>
      <w:r>
        <w:rPr>
          <w:rStyle w:val="NormalTok"/>
        </w:rPr>
        <w:t>Seurat</w:t>
      </w:r>
      <w:r>
        <w:rPr>
          <w:rStyle w:val="SpecialCharTok"/>
        </w:rPr>
        <w:t>::</w:t>
      </w:r>
      <w:r>
        <w:rPr>
          <w:rStyle w:val="FunctionTok"/>
        </w:rPr>
        <w:t>DimPlot</w:t>
      </w:r>
      <w:r>
        <w:rPr>
          <w:rStyle w:val="NormalTok"/>
        </w:rPr>
        <w:t xml:space="preserve">(seu, </w:t>
      </w:r>
      <w:r>
        <w:rPr>
          <w:rStyle w:val="AttributeTok"/>
        </w:rPr>
        <w:t>reduction =</w:t>
      </w:r>
      <w:r>
        <w:rPr>
          <w:rStyle w:val="NormalTok"/>
        </w:rPr>
        <w:t xml:space="preserve"> </w:t>
      </w:r>
      <w:r>
        <w:rPr>
          <w:rStyle w:val="StringTok"/>
        </w:rPr>
        <w:t>"umap"</w:t>
      </w:r>
      <w:r>
        <w:rPr>
          <w:rStyle w:val="NormalTok"/>
        </w:rPr>
        <w:t>)</w:t>
      </w:r>
    </w:p>
    <w:p w14:paraId="070732B6" w14:textId="77777777" w:rsidR="001A1817" w:rsidRDefault="00000000">
      <w:pPr>
        <w:pStyle w:val="FirstParagraph"/>
      </w:pPr>
      <w:r>
        <w:rPr>
          <w:noProof/>
        </w:rPr>
        <w:lastRenderedPageBreak/>
        <w:drawing>
          <wp:inline distT="0" distB="0" distL="0" distR="0" wp14:anchorId="09649CE0" wp14:editId="73E2F2CC">
            <wp:extent cx="5334000" cy="42672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day2-2_dimensionality_reduction_files/figure-docx/unnamed-chunk-10-1.png"/>
                    <pic:cNvPicPr>
                      <a:picLocks noChangeAspect="1" noChangeArrowheads="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1A1817" w14:paraId="0A0151F7" w14:textId="77777777" w:rsidTr="001A1817">
        <w:trPr>
          <w:cantSplit/>
        </w:trPr>
        <w:tc>
          <w:tcPr>
            <w:tcW w:w="0" w:type="auto"/>
            <w:shd w:val="clear" w:color="auto" w:fill="F7DDDC"/>
            <w:tcMar>
              <w:top w:w="92" w:type="dxa"/>
              <w:bottom w:w="92" w:type="dxa"/>
            </w:tcMar>
          </w:tcPr>
          <w:p w14:paraId="3A312265" w14:textId="77777777" w:rsidR="001A1817" w:rsidRDefault="00000000">
            <w:pPr>
              <w:pStyle w:val="BodyText"/>
              <w:spacing w:before="0" w:after="0"/>
              <w:textAlignment w:val="center"/>
            </w:pPr>
            <w:r>
              <w:rPr>
                <w:noProof/>
              </w:rPr>
              <w:drawing>
                <wp:inline distT="0" distB="0" distL="0" distR="0" wp14:anchorId="64896981" wp14:editId="06A15B33">
                  <wp:extent cx="152400" cy="1524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Applications/RStudio.app/Contents/Resources/app/quarto/share/formats/docx/important.png"/>
                          <pic:cNvPicPr>
                            <a:picLocks noChangeAspect="1" noChangeArrowheads="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1A1817" w14:paraId="3436FF9E" w14:textId="77777777" w:rsidTr="001A1817">
        <w:trPr>
          <w:cantSplit/>
        </w:trPr>
        <w:tc>
          <w:tcPr>
            <w:tcW w:w="0" w:type="auto"/>
            <w:tcMar>
              <w:top w:w="108" w:type="dxa"/>
              <w:bottom w:w="108" w:type="dxa"/>
            </w:tcMar>
          </w:tcPr>
          <w:p w14:paraId="6FB218F7" w14:textId="77777777" w:rsidR="001A1817" w:rsidRDefault="00000000">
            <w:pPr>
              <w:pStyle w:val="BodyText"/>
              <w:spacing w:before="16"/>
            </w:pPr>
            <w:r>
              <w:t>Try to change:</w:t>
            </w:r>
          </w:p>
          <w:p w14:paraId="1E74AA54" w14:textId="77777777" w:rsidR="001A1817" w:rsidRDefault="00000000">
            <w:pPr>
              <w:pStyle w:val="BodyText"/>
            </w:pPr>
            <w:r>
              <w:rPr>
                <w:b/>
                <w:bCs/>
              </w:rPr>
              <w:t>A.</w:t>
            </w:r>
            <w:r>
              <w:t xml:space="preserve"> Color the dots in the UMAP according to a variable (e.g. </w:t>
            </w:r>
            <w:r>
              <w:rPr>
                <w:rStyle w:val="VerbatimChar"/>
              </w:rPr>
              <w:t>percent.globin</w:t>
            </w:r>
            <w:r>
              <w:t xml:space="preserve"> or </w:t>
            </w:r>
            <w:r>
              <w:rPr>
                <w:rStyle w:val="VerbatimChar"/>
              </w:rPr>
              <w:t>HBA1</w:t>
            </w:r>
            <w:r>
              <w:t>). Any idea where the erythrocytes probably are in the UMAP?</w:t>
            </w:r>
          </w:p>
          <w:p w14:paraId="7CB70FE2" w14:textId="77777777" w:rsidR="001A1817" w:rsidRDefault="00000000">
            <w:pPr>
              <w:pStyle w:val="BodyText"/>
            </w:pPr>
            <w:r>
              <w:rPr>
                <w:b/>
                <w:bCs/>
              </w:rPr>
              <w:t>B.</w:t>
            </w:r>
            <w:r>
              <w:t xml:space="preserve"> The number of neighbors used for the calculation of the UMAP. Which is the parameter to change and how did it affect the output. What is the default ? In which situation would you lower/increase this ?</w:t>
            </w:r>
          </w:p>
          <w:p w14:paraId="15E95A39" w14:textId="77777777" w:rsidR="001A1817" w:rsidRDefault="00000000">
            <w:pPr>
              <w:pStyle w:val="BodyText"/>
              <w:spacing w:after="16"/>
            </w:pPr>
            <w:r>
              <w:rPr>
                <w:b/>
                <w:bCs/>
              </w:rPr>
              <w:t>C.</w:t>
            </w:r>
            <w:r>
              <w:t xml:space="preserve"> The number of dims to extremes </w:t>
            </w:r>
            <w:r>
              <w:rPr>
                <w:rStyle w:val="VerbatimChar"/>
              </w:rPr>
              <w:t>dims = 1:5</w:t>
            </w:r>
            <w:r>
              <w:t xml:space="preserve"> or </w:t>
            </w:r>
            <w:r>
              <w:rPr>
                <w:rStyle w:val="VerbatimChar"/>
              </w:rPr>
              <w:t>dims = 1:50</w:t>
            </w:r>
            <w:r>
              <w:t xml:space="preserve"> how did it affect the output ? In your opinion better few PCAs too much or too few ? Why does </w:t>
            </w:r>
            <w:r>
              <w:rPr>
                <w:rStyle w:val="VerbatimChar"/>
              </w:rPr>
              <w:t>dims = 1:100</w:t>
            </w:r>
            <w:r>
              <w:t xml:space="preserve"> not work? When would more precision be needed?</w:t>
            </w:r>
          </w:p>
        </w:tc>
      </w:tr>
    </w:tbl>
    <w:p w14:paraId="3CF9321B" w14:textId="77777777" w:rsidR="001A1817"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1A1817" w14:paraId="190A2E4A" w14:textId="77777777" w:rsidTr="001A1817">
        <w:trPr>
          <w:cantSplit/>
        </w:trPr>
        <w:tc>
          <w:tcPr>
            <w:tcW w:w="0" w:type="auto"/>
            <w:shd w:val="clear" w:color="auto" w:fill="CCF1E3"/>
            <w:tcMar>
              <w:top w:w="92" w:type="dxa"/>
              <w:bottom w:w="92" w:type="dxa"/>
            </w:tcMar>
          </w:tcPr>
          <w:p w14:paraId="3F040A41" w14:textId="77777777" w:rsidR="001A1817" w:rsidRDefault="00000000">
            <w:pPr>
              <w:pStyle w:val="BodyText"/>
              <w:spacing w:before="0" w:after="0"/>
              <w:textAlignment w:val="center"/>
            </w:pPr>
            <w:r>
              <w:rPr>
                <w:noProof/>
              </w:rPr>
              <w:drawing>
                <wp:inline distT="0" distB="0" distL="0" distR="0" wp14:anchorId="77346520" wp14:editId="30188645">
                  <wp:extent cx="152400" cy="1524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Applications/RStudio.app/Contents/Resources/app/quarto/share/formats/docx/tip.png"/>
                          <pic:cNvPicPr>
                            <a:picLocks noChangeAspect="1" noChangeArrowheads="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1A1817" w14:paraId="1C937880" w14:textId="77777777" w:rsidTr="001A1817">
        <w:trPr>
          <w:cantSplit/>
        </w:trPr>
        <w:tc>
          <w:tcPr>
            <w:tcW w:w="0" w:type="auto"/>
            <w:tcMar>
              <w:top w:w="108" w:type="dxa"/>
              <w:bottom w:w="108" w:type="dxa"/>
            </w:tcMar>
          </w:tcPr>
          <w:p w14:paraId="369E9C15" w14:textId="77777777" w:rsidR="001A1817" w:rsidRDefault="00000000">
            <w:pPr>
              <w:pStyle w:val="BodyText"/>
              <w:spacing w:before="16"/>
              <w:rPr>
                <w:b/>
                <w:bCs/>
              </w:rPr>
            </w:pPr>
            <w:r>
              <w:rPr>
                <w:b/>
                <w:bCs/>
              </w:rPr>
              <w:lastRenderedPageBreak/>
              <w:t>Answer A</w:t>
            </w:r>
          </w:p>
          <w:p w14:paraId="784681E3" w14:textId="43F1D7DA" w:rsidR="00EF15E8" w:rsidRDefault="00EF15E8">
            <w:pPr>
              <w:pStyle w:val="BodyText"/>
              <w:spacing w:before="16"/>
            </w:pPr>
            <w:r>
              <w:t>Code starts here:</w:t>
            </w:r>
          </w:p>
          <w:p w14:paraId="7DD6AB3D" w14:textId="77777777" w:rsidR="001A1817" w:rsidRDefault="00000000">
            <w:pPr>
              <w:pStyle w:val="SourceCode"/>
            </w:pPr>
            <w:r>
              <w:rPr>
                <w:rStyle w:val="NormalTok"/>
              </w:rPr>
              <w:t>Seurat</w:t>
            </w:r>
            <w:r>
              <w:rPr>
                <w:rStyle w:val="SpecialCharTok"/>
              </w:rPr>
              <w:t>::</w:t>
            </w:r>
            <w:r>
              <w:rPr>
                <w:rStyle w:val="FunctionTok"/>
              </w:rPr>
              <w:t>FeaturePlot</w:t>
            </w:r>
            <w:r>
              <w:rPr>
                <w:rStyle w:val="NormalTok"/>
              </w:rPr>
              <w:t xml:space="preserve">(seu, </w:t>
            </w:r>
            <w:r>
              <w:rPr>
                <w:rStyle w:val="AttributeTok"/>
              </w:rPr>
              <w:t>features =</w:t>
            </w:r>
            <w:r>
              <w:rPr>
                <w:rStyle w:val="NormalTok"/>
              </w:rPr>
              <w:t xml:space="preserve"> </w:t>
            </w:r>
            <w:r>
              <w:rPr>
                <w:rStyle w:val="FunctionTok"/>
              </w:rPr>
              <w:t>c</w:t>
            </w:r>
            <w:r>
              <w:rPr>
                <w:rStyle w:val="NormalTok"/>
              </w:rPr>
              <w:t>(</w:t>
            </w:r>
            <w:r>
              <w:rPr>
                <w:rStyle w:val="StringTok"/>
              </w:rPr>
              <w:t>"HBA1"</w:t>
            </w:r>
            <w:r>
              <w:rPr>
                <w:rStyle w:val="NormalTok"/>
              </w:rPr>
              <w:t>,</w:t>
            </w:r>
            <w:r>
              <w:br/>
            </w:r>
            <w:r>
              <w:rPr>
                <w:rStyle w:val="NormalTok"/>
              </w:rPr>
              <w:t xml:space="preserve">                                      </w:t>
            </w:r>
            <w:r>
              <w:rPr>
                <w:rStyle w:val="StringTok"/>
              </w:rPr>
              <w:t>"percent.globin"</w:t>
            </w:r>
            <w:r>
              <w:rPr>
                <w:rStyle w:val="NormalTok"/>
              </w:rPr>
              <w:t>,</w:t>
            </w:r>
            <w:r>
              <w:br/>
            </w:r>
            <w:r>
              <w:rPr>
                <w:rStyle w:val="NormalTok"/>
              </w:rPr>
              <w:t xml:space="preserve">                                      </w:t>
            </w:r>
            <w:r>
              <w:rPr>
                <w:rStyle w:val="StringTok"/>
              </w:rPr>
              <w:t>"IGKC"</w:t>
            </w:r>
            <w:r>
              <w:rPr>
                <w:rStyle w:val="NormalTok"/>
              </w:rPr>
              <w:t>,</w:t>
            </w:r>
            <w:r>
              <w:br/>
            </w:r>
            <w:r>
              <w:rPr>
                <w:rStyle w:val="NormalTok"/>
              </w:rPr>
              <w:t xml:space="preserve">                                      </w:t>
            </w:r>
            <w:r>
              <w:rPr>
                <w:rStyle w:val="StringTok"/>
              </w:rPr>
              <w:t>"percent.mito"</w:t>
            </w:r>
            <w:r>
              <w:rPr>
                <w:rStyle w:val="NormalTok"/>
              </w:rPr>
              <w:t>))</w:t>
            </w:r>
          </w:p>
          <w:p w14:paraId="2F744CA8" w14:textId="77777777" w:rsidR="001A1817" w:rsidRDefault="00000000">
            <w:pPr>
              <w:pStyle w:val="FirstParagraph"/>
            </w:pPr>
            <w:r>
              <w:rPr>
                <w:noProof/>
              </w:rPr>
              <w:drawing>
                <wp:inline distT="0" distB="0" distL="0" distR="0" wp14:anchorId="37E3D278" wp14:editId="3A0E116C">
                  <wp:extent cx="5334000" cy="42672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day2-2_dimensionality_reduction_files/figure-docx/unnamed-chunk-11-1.png"/>
                          <pic:cNvPicPr>
                            <a:picLocks noChangeAspect="1" noChangeArrowheads="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14:paraId="1BAD8880" w14:textId="77777777" w:rsidR="001A1817" w:rsidRDefault="00000000">
            <w:pPr>
              <w:pStyle w:val="BodyText"/>
            </w:pPr>
            <w:r>
              <w:t>The erythrocytes are probably in the cluster with a higher percentage of globin expression.</w:t>
            </w:r>
          </w:p>
          <w:p w14:paraId="6B5A4434" w14:textId="77777777" w:rsidR="001A1817" w:rsidRDefault="00000000">
            <w:pPr>
              <w:pStyle w:val="BodyText"/>
              <w:rPr>
                <w:b/>
                <w:bCs/>
              </w:rPr>
            </w:pPr>
            <w:r>
              <w:rPr>
                <w:b/>
                <w:bCs/>
              </w:rPr>
              <w:t>Answer B</w:t>
            </w:r>
          </w:p>
          <w:p w14:paraId="56282BA7" w14:textId="5E1F9A1B" w:rsidR="00EF15E8" w:rsidRDefault="00EF15E8">
            <w:pPr>
              <w:pStyle w:val="BodyText"/>
            </w:pPr>
            <w:r>
              <w:t>Code starts here:</w:t>
            </w:r>
          </w:p>
          <w:p w14:paraId="00F77774" w14:textId="77777777" w:rsidR="001A1817" w:rsidRDefault="00000000">
            <w:pPr>
              <w:pStyle w:val="SourceCode"/>
            </w:pPr>
            <w:r>
              <w:rPr>
                <w:rStyle w:val="NormalTok"/>
              </w:rPr>
              <w:t xml:space="preserve">seu </w:t>
            </w:r>
            <w:r>
              <w:rPr>
                <w:rStyle w:val="OtherTok"/>
              </w:rPr>
              <w:t>&lt;-</w:t>
            </w:r>
            <w:r>
              <w:rPr>
                <w:rStyle w:val="NormalTok"/>
              </w:rPr>
              <w:t xml:space="preserve"> Seurat</w:t>
            </w:r>
            <w:r>
              <w:rPr>
                <w:rStyle w:val="SpecialCharTok"/>
              </w:rPr>
              <w:t>::</w:t>
            </w:r>
            <w:r>
              <w:rPr>
                <w:rStyle w:val="FunctionTok"/>
              </w:rPr>
              <w:t>RunUMAP</w:t>
            </w:r>
            <w:r>
              <w:rPr>
                <w:rStyle w:val="NormalTok"/>
              </w:rPr>
              <w:t xml:space="preserve">(seu, </w:t>
            </w:r>
            <w:r>
              <w:rPr>
                <w:rStyle w:val="AttributeTok"/>
              </w:rPr>
              <w:t>dims =</w:t>
            </w:r>
            <w:r>
              <w:rPr>
                <w:rStyle w:val="NormalTok"/>
              </w:rPr>
              <w:t xml:space="preserve"> </w:t>
            </w:r>
            <w:r>
              <w:rPr>
                <w:rStyle w:val="DecValTok"/>
              </w:rPr>
              <w:t>1</w:t>
            </w:r>
            <w:r>
              <w:rPr>
                <w:rStyle w:val="SpecialCharTok"/>
              </w:rPr>
              <w:t>:</w:t>
            </w:r>
            <w:r>
              <w:rPr>
                <w:rStyle w:val="DecValTok"/>
              </w:rPr>
              <w:t>25</w:t>
            </w:r>
            <w:r>
              <w:rPr>
                <w:rStyle w:val="NormalTok"/>
              </w:rPr>
              <w:t xml:space="preserve">, </w:t>
            </w:r>
            <w:r>
              <w:rPr>
                <w:rStyle w:val="AttributeTok"/>
              </w:rPr>
              <w:t>n.neighbors =</w:t>
            </w:r>
            <w:r>
              <w:rPr>
                <w:rStyle w:val="NormalTok"/>
              </w:rPr>
              <w:t xml:space="preserve"> </w:t>
            </w:r>
            <w:r>
              <w:rPr>
                <w:rStyle w:val="DecValTok"/>
              </w:rPr>
              <w:t>5</w:t>
            </w:r>
            <w:r>
              <w:rPr>
                <w:rStyle w:val="NormalTok"/>
              </w:rPr>
              <w:t>)</w:t>
            </w:r>
          </w:p>
          <w:p w14:paraId="30AE5AA8" w14:textId="77777777" w:rsidR="001A1817" w:rsidRDefault="00000000">
            <w:pPr>
              <w:pStyle w:val="SourceCode"/>
            </w:pPr>
            <w:r>
              <w:rPr>
                <w:rStyle w:val="NormalTok"/>
              </w:rPr>
              <w:t>Seurat</w:t>
            </w:r>
            <w:r>
              <w:rPr>
                <w:rStyle w:val="SpecialCharTok"/>
              </w:rPr>
              <w:t>::</w:t>
            </w:r>
            <w:r>
              <w:rPr>
                <w:rStyle w:val="FunctionTok"/>
              </w:rPr>
              <w:t>DimPlot</w:t>
            </w:r>
            <w:r>
              <w:rPr>
                <w:rStyle w:val="NormalTok"/>
              </w:rPr>
              <w:t xml:space="preserve">(seu, </w:t>
            </w:r>
            <w:r>
              <w:rPr>
                <w:rStyle w:val="AttributeTok"/>
              </w:rPr>
              <w:t>reduction =</w:t>
            </w:r>
            <w:r>
              <w:rPr>
                <w:rStyle w:val="NormalTok"/>
              </w:rPr>
              <w:t xml:space="preserve"> </w:t>
            </w:r>
            <w:r>
              <w:rPr>
                <w:rStyle w:val="StringTok"/>
              </w:rPr>
              <w:t>"umap"</w:t>
            </w:r>
            <w:r>
              <w:rPr>
                <w:rStyle w:val="NormalTok"/>
              </w:rPr>
              <w:t>)</w:t>
            </w:r>
          </w:p>
          <w:p w14:paraId="2BD8BDBE" w14:textId="77777777" w:rsidR="001A1817" w:rsidRDefault="00000000">
            <w:pPr>
              <w:pStyle w:val="FirstParagraph"/>
            </w:pPr>
            <w:r>
              <w:rPr>
                <w:noProof/>
              </w:rPr>
              <w:drawing>
                <wp:inline distT="0" distB="0" distL="0" distR="0" wp14:anchorId="48BF2F2E" wp14:editId="6981D478">
                  <wp:extent cx="5334000" cy="42672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day2-2_dimensionality_reduction_files/figure-docx/unnamed-chunk-13-1.png"/>
                          <pic:cNvPicPr>
                            <a:picLocks noChangeAspect="1" noChangeArrowheads="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14:paraId="34F3F7C8" w14:textId="77777777" w:rsidR="001A1817" w:rsidRDefault="00000000">
            <w:pPr>
              <w:pStyle w:val="BodyText"/>
            </w:pPr>
            <w:r>
              <w:t>The default number of neighbours is 30. It can be of interest to change the number of neighbors if one has subset the data (for instance in the situation where you would only consider the t-cells in your data set), then maybe the number of neighbors in a cluster would anyway be most of the time lower than 30 then 30 is too much. In the other extreme where your dataset is extremely big an increase in the number of neighbors can be considered.</w:t>
            </w:r>
          </w:p>
          <w:p w14:paraId="0E757602" w14:textId="77777777" w:rsidR="001A1817" w:rsidRDefault="00000000">
            <w:pPr>
              <w:pStyle w:val="BodyText"/>
            </w:pPr>
            <w:r>
              <w:rPr>
                <w:b/>
                <w:bCs/>
              </w:rPr>
              <w:t>Answer C</w:t>
            </w:r>
          </w:p>
          <w:p w14:paraId="4B3CEB5A" w14:textId="77777777" w:rsidR="001A1817" w:rsidRDefault="00000000">
            <w:pPr>
              <w:pStyle w:val="SourceCode"/>
            </w:pPr>
            <w:r>
              <w:rPr>
                <w:rStyle w:val="NormalTok"/>
              </w:rPr>
              <w:t xml:space="preserve">seu </w:t>
            </w:r>
            <w:r>
              <w:rPr>
                <w:rStyle w:val="OtherTok"/>
              </w:rPr>
              <w:t>&lt;-</w:t>
            </w:r>
            <w:r>
              <w:rPr>
                <w:rStyle w:val="NormalTok"/>
              </w:rPr>
              <w:t xml:space="preserve"> Seurat</w:t>
            </w:r>
            <w:r>
              <w:rPr>
                <w:rStyle w:val="SpecialCharTok"/>
              </w:rPr>
              <w:t>::</w:t>
            </w:r>
            <w:r>
              <w:rPr>
                <w:rStyle w:val="FunctionTok"/>
              </w:rPr>
              <w:t>RunUMAP</w:t>
            </w:r>
            <w:r>
              <w:rPr>
                <w:rStyle w:val="NormalTok"/>
              </w:rPr>
              <w:t xml:space="preserve">(seu, </w:t>
            </w:r>
            <w:r>
              <w:rPr>
                <w:rStyle w:val="AttributeTok"/>
              </w:rPr>
              <w:t>dims =</w:t>
            </w:r>
            <w:r>
              <w:rPr>
                <w:rStyle w:val="NormalTok"/>
              </w:rPr>
              <w:t xml:space="preserve"> </w:t>
            </w:r>
            <w:r>
              <w:rPr>
                <w:rStyle w:val="DecValTok"/>
              </w:rPr>
              <w:t>1</w:t>
            </w:r>
            <w:r>
              <w:rPr>
                <w:rStyle w:val="SpecialCharTok"/>
              </w:rPr>
              <w:t>:</w:t>
            </w:r>
            <w:r>
              <w:rPr>
                <w:rStyle w:val="DecValTok"/>
              </w:rPr>
              <w:t>5</w:t>
            </w:r>
            <w:r>
              <w:rPr>
                <w:rStyle w:val="NormalTok"/>
              </w:rPr>
              <w:t>)</w:t>
            </w:r>
          </w:p>
          <w:p w14:paraId="7B1DBBDD" w14:textId="77777777" w:rsidR="001A1817" w:rsidRDefault="00000000">
            <w:pPr>
              <w:pStyle w:val="SourceCode"/>
            </w:pPr>
            <w:r>
              <w:rPr>
                <w:rStyle w:val="NormalTok"/>
              </w:rPr>
              <w:t>Seurat</w:t>
            </w:r>
            <w:r>
              <w:rPr>
                <w:rStyle w:val="SpecialCharTok"/>
              </w:rPr>
              <w:t>::</w:t>
            </w:r>
            <w:r>
              <w:rPr>
                <w:rStyle w:val="FunctionTok"/>
              </w:rPr>
              <w:t>DimPlot</w:t>
            </w:r>
            <w:r>
              <w:rPr>
                <w:rStyle w:val="NormalTok"/>
              </w:rPr>
              <w:t xml:space="preserve">(seu, </w:t>
            </w:r>
            <w:r>
              <w:rPr>
                <w:rStyle w:val="AttributeTok"/>
              </w:rPr>
              <w:t>reduction =</w:t>
            </w:r>
            <w:r>
              <w:rPr>
                <w:rStyle w:val="NormalTok"/>
              </w:rPr>
              <w:t xml:space="preserve"> </w:t>
            </w:r>
            <w:r>
              <w:rPr>
                <w:rStyle w:val="StringTok"/>
              </w:rPr>
              <w:t>"umap"</w:t>
            </w:r>
            <w:r>
              <w:rPr>
                <w:rStyle w:val="NormalTok"/>
              </w:rPr>
              <w:t>)</w:t>
            </w:r>
          </w:p>
          <w:p w14:paraId="3EBCFF8D" w14:textId="77777777" w:rsidR="001A1817" w:rsidRDefault="00000000">
            <w:pPr>
              <w:pStyle w:val="FirstParagraph"/>
            </w:pPr>
            <w:r>
              <w:rPr>
                <w:noProof/>
              </w:rPr>
              <w:drawing>
                <wp:inline distT="0" distB="0" distL="0" distR="0" wp14:anchorId="34C0FADA" wp14:editId="6A644F51">
                  <wp:extent cx="5334000" cy="42672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day2-2_dimensionality_reduction_files/figure-docx/unnamed-chunk-15-1.png"/>
                          <pic:cNvPicPr>
                            <a:picLocks noChangeAspect="1" noChangeArrowheads="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14:paraId="73A49E35" w14:textId="77777777" w:rsidR="001A1817" w:rsidRDefault="00000000">
            <w:pPr>
              <w:pStyle w:val="SourceCode"/>
            </w:pPr>
            <w:r>
              <w:rPr>
                <w:rStyle w:val="NormalTok"/>
              </w:rPr>
              <w:t xml:space="preserve">seu </w:t>
            </w:r>
            <w:r>
              <w:rPr>
                <w:rStyle w:val="OtherTok"/>
              </w:rPr>
              <w:t>&lt;-</w:t>
            </w:r>
            <w:r>
              <w:rPr>
                <w:rStyle w:val="NormalTok"/>
              </w:rPr>
              <w:t xml:space="preserve"> Seurat</w:t>
            </w:r>
            <w:r>
              <w:rPr>
                <w:rStyle w:val="SpecialCharTok"/>
              </w:rPr>
              <w:t>::</w:t>
            </w:r>
            <w:r>
              <w:rPr>
                <w:rStyle w:val="FunctionTok"/>
              </w:rPr>
              <w:t>RunUMAP</w:t>
            </w:r>
            <w:r>
              <w:rPr>
                <w:rStyle w:val="NormalTok"/>
              </w:rPr>
              <w:t xml:space="preserve">(seu, </w:t>
            </w:r>
            <w:r>
              <w:rPr>
                <w:rStyle w:val="AttributeTok"/>
              </w:rPr>
              <w:t>dims =</w:t>
            </w:r>
            <w:r>
              <w:rPr>
                <w:rStyle w:val="NormalTok"/>
              </w:rPr>
              <w:t xml:space="preserve"> </w:t>
            </w:r>
            <w:r>
              <w:rPr>
                <w:rStyle w:val="DecValTok"/>
              </w:rPr>
              <w:t>1</w:t>
            </w:r>
            <w:r>
              <w:rPr>
                <w:rStyle w:val="SpecialCharTok"/>
              </w:rPr>
              <w:t>:</w:t>
            </w:r>
            <w:r>
              <w:rPr>
                <w:rStyle w:val="DecValTok"/>
              </w:rPr>
              <w:t>50</w:t>
            </w:r>
            <w:r>
              <w:rPr>
                <w:rStyle w:val="NormalTok"/>
              </w:rPr>
              <w:t xml:space="preserve">) </w:t>
            </w:r>
          </w:p>
          <w:p w14:paraId="0D565D3B" w14:textId="77777777" w:rsidR="001A1817" w:rsidRDefault="00000000">
            <w:pPr>
              <w:pStyle w:val="SourceCode"/>
            </w:pPr>
            <w:r>
              <w:rPr>
                <w:rStyle w:val="NormalTok"/>
              </w:rPr>
              <w:t>Seurat</w:t>
            </w:r>
            <w:r>
              <w:rPr>
                <w:rStyle w:val="SpecialCharTok"/>
              </w:rPr>
              <w:t>::</w:t>
            </w:r>
            <w:r>
              <w:rPr>
                <w:rStyle w:val="FunctionTok"/>
              </w:rPr>
              <w:t>DimPlot</w:t>
            </w:r>
            <w:r>
              <w:rPr>
                <w:rStyle w:val="NormalTok"/>
              </w:rPr>
              <w:t xml:space="preserve">(seu, </w:t>
            </w:r>
            <w:r>
              <w:rPr>
                <w:rStyle w:val="AttributeTok"/>
              </w:rPr>
              <w:t>reduction =</w:t>
            </w:r>
            <w:r>
              <w:rPr>
                <w:rStyle w:val="NormalTok"/>
              </w:rPr>
              <w:t xml:space="preserve"> </w:t>
            </w:r>
            <w:r>
              <w:rPr>
                <w:rStyle w:val="StringTok"/>
              </w:rPr>
              <w:t>"umap"</w:t>
            </w:r>
            <w:r>
              <w:rPr>
                <w:rStyle w:val="NormalTok"/>
              </w:rPr>
              <w:t>)</w:t>
            </w:r>
          </w:p>
          <w:p w14:paraId="45434B38" w14:textId="77777777" w:rsidR="001A1817" w:rsidRDefault="00000000">
            <w:pPr>
              <w:pStyle w:val="FirstParagraph"/>
            </w:pPr>
            <w:r>
              <w:rPr>
                <w:noProof/>
              </w:rPr>
              <w:drawing>
                <wp:inline distT="0" distB="0" distL="0" distR="0" wp14:anchorId="2543B344" wp14:editId="3140ED34">
                  <wp:extent cx="5334000" cy="42672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day2-2_dimensionality_reduction_files/figure-docx/unnamed-chunk-17-1.png"/>
                          <pic:cNvPicPr>
                            <a:picLocks noChangeAspect="1" noChangeArrowheads="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14:paraId="41A97252" w14:textId="77777777" w:rsidR="001A1817" w:rsidRDefault="00000000">
            <w:pPr>
              <w:pStyle w:val="BodyText"/>
              <w:spacing w:after="16"/>
            </w:pPr>
            <w:r>
              <w:t xml:space="preserve">Taking dims = 1:100 does not work as in the step </w:t>
            </w:r>
            <w:r>
              <w:rPr>
                <w:rStyle w:val="VerbatimChar"/>
              </w:rPr>
              <w:t>RunPCA</w:t>
            </w:r>
            <w:r>
              <w:t xml:space="preserve"> by default only 50pcs are calculated, so the maximum that we can consider in further steps are 50, if more precision makes sense, for instance, if the genes that is of interest for your study is not present when the </w:t>
            </w:r>
            <w:r>
              <w:rPr>
                <w:rStyle w:val="VerbatimChar"/>
              </w:rPr>
              <w:t>RunPCA</w:t>
            </w:r>
            <w:r>
              <w:t xml:space="preserve"> was calculated, then an increase in the number of components calculated at start might be interesting tobe considered. Taking too few PCs we have a « blob » everything looks connected. Too many PCs tends to separate everything. Personally it is more interesting for me too have maybe 2 clusters separated of epithelial cells that I then group for further downstream analysis rather than having very distinct cells being clustered together. So I would rather take the « elbow » of the elbow plot a bit further to the right.</w:t>
            </w:r>
          </w:p>
        </w:tc>
      </w:tr>
    </w:tbl>
    <w:p w14:paraId="60828FA1" w14:textId="77777777" w:rsidR="001A1817" w:rsidRDefault="00000000">
      <w:pPr>
        <w:pStyle w:val="BodyText"/>
      </w:pPr>
      <w:r>
        <w:lastRenderedPageBreak/>
        <w:t>After having done these exercises, change the UMAP back to a UMAP based on the first 25 PCs, in order to replicate the exercises in the following chapters. Do this by:</w:t>
      </w:r>
    </w:p>
    <w:p w14:paraId="6498C1B3" w14:textId="534BEC7B" w:rsidR="00EF15E8" w:rsidRDefault="00EF15E8">
      <w:pPr>
        <w:pStyle w:val="BodyText"/>
      </w:pPr>
      <w:r>
        <w:t>Code starts here:</w:t>
      </w:r>
    </w:p>
    <w:p w14:paraId="0BCCF81F" w14:textId="77777777" w:rsidR="001A1817" w:rsidRDefault="00000000">
      <w:pPr>
        <w:pStyle w:val="SourceCode"/>
      </w:pPr>
      <w:r>
        <w:rPr>
          <w:rStyle w:val="NormalTok"/>
        </w:rPr>
        <w:t xml:space="preserve">seu </w:t>
      </w:r>
      <w:r>
        <w:rPr>
          <w:rStyle w:val="OtherTok"/>
        </w:rPr>
        <w:t>&lt;-</w:t>
      </w:r>
      <w:r>
        <w:rPr>
          <w:rStyle w:val="NormalTok"/>
        </w:rPr>
        <w:t xml:space="preserve"> Seurat</w:t>
      </w:r>
      <w:r>
        <w:rPr>
          <w:rStyle w:val="SpecialCharTok"/>
        </w:rPr>
        <w:t>::</w:t>
      </w:r>
      <w:r>
        <w:rPr>
          <w:rStyle w:val="FunctionTok"/>
        </w:rPr>
        <w:t>RunUMAP</w:t>
      </w:r>
      <w:r>
        <w:rPr>
          <w:rStyle w:val="NormalTok"/>
        </w:rPr>
        <w:t xml:space="preserve">(seu, </w:t>
      </w:r>
      <w:r>
        <w:rPr>
          <w:rStyle w:val="AttributeTok"/>
        </w:rPr>
        <w:t>dims =</w:t>
      </w:r>
      <w:r>
        <w:rPr>
          <w:rStyle w:val="NormalTok"/>
        </w:rPr>
        <w:t xml:space="preserve"> </w:t>
      </w:r>
      <w:r>
        <w:rPr>
          <w:rStyle w:val="DecValTok"/>
        </w:rPr>
        <w:t>1</w:t>
      </w:r>
      <w:r>
        <w:rPr>
          <w:rStyle w:val="SpecialCharTok"/>
        </w:rPr>
        <w:t>:</w:t>
      </w:r>
      <w:r>
        <w:rPr>
          <w:rStyle w:val="DecValTok"/>
        </w:rPr>
        <w:t>25</w:t>
      </w:r>
      <w:r>
        <w:rPr>
          <w:rStyle w:val="NormalTok"/>
        </w:rPr>
        <w:t>)</w:t>
      </w:r>
      <w:bookmarkEnd w:id="1"/>
    </w:p>
    <w:sectPr w:rsidR="001A181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C601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B182A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03861672">
    <w:abstractNumId w:val="0"/>
  </w:num>
  <w:num w:numId="2" w16cid:durableId="1048723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1A1817"/>
    <w:rsid w:val="001A1817"/>
    <w:rsid w:val="00E24DB1"/>
    <w:rsid w:val="00EF1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2438F9"/>
  <w15:docId w15:val="{A6555585-3053-344C-88A9-EEE4104A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NEaUSP4YerM"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distill.pub/2016/misread-tsne/"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stats.stackexchange.com/questions/2691/making-sense-of-principal-component-analysis-eigenvectors-eigenvalues" TargetMode="External"/><Relationship Id="rId11" Type="http://schemas.openxmlformats.org/officeDocument/2006/relationships/hyperlink" Target="https://umap.scikit-tda.org/parameters.html" TargetMode="External"/><Relationship Id="rId24" Type="http://schemas.openxmlformats.org/officeDocument/2006/relationships/image" Target="media/image13.png"/><Relationship Id="rId5" Type="http://schemas.openxmlformats.org/officeDocument/2006/relationships/hyperlink" Target="https://youtu.be/QS6ZH_41b4s?si=fvaNGkqjsIcxTEFn" TargetMode="Externa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www.youtube.com/watch?v=nq6iPZVUxZU"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pair-code.github.io/understanding-umap/"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973</Words>
  <Characters>5547</Characters>
  <Application>Microsoft Office Word</Application>
  <DocSecurity>0</DocSecurity>
  <Lines>46</Lines>
  <Paragraphs>13</Paragraphs>
  <ScaleCrop>false</ScaleCrop>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Dimensionality reduction</dc:title>
  <dc:creator/>
  <cp:keywords/>
  <cp:lastModifiedBy>Deepak Kumar Tanwar</cp:lastModifiedBy>
  <cp:revision>2</cp:revision>
  <dcterms:created xsi:type="dcterms:W3CDTF">2025-05-16T11:33:00Z</dcterms:created>
  <dcterms:modified xsi:type="dcterms:W3CDTF">2025-05-16T12:37:00Z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