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b/>
          <w:color w:val="1F3864"/>
          <w:sz w:val="32"/>
        </w:rPr>
        <w:t>Procédure — Montage de l'architecture Lab Cloud Security</w:t>
      </w:r>
    </w:p>
    <w:p>
      <w:r>
        <w:rPr>
          <w:i/>
          <w:color w:val="888888"/>
          <w:sz w:val="19"/>
        </w:rPr>
        <w:t>Étapes détaillées, portail Azure — 24/07/2026</w:t>
      </w:r>
    </w:p>
    <w:p>
      <w:pPr>
        <w:spacing w:after="120"/>
      </w:pPr>
      <w:r>
        <w:rPr>
          <w:color w:val="374151"/>
          <w:sz w:val="21"/>
        </w:rPr>
        <w:t>Cette procédure détaille, écran par écran, le montage complet de l'architecture décrite dans PROJET_LAB_CLOUD_SECURITY.docx. Elle suppose un compte Azure Free Trial déjà actif (200 $ / 30 jours) et un compte Microsoft personnel connecté au portail (portal.azure.com).</w:t>
      </w:r>
    </w:p>
    <w:p>
      <w:r>
        <w:rPr>
          <w:i/>
          <w:color w:val="B03030"/>
          <w:sz w:val="20"/>
        </w:rPr>
        <w:t>⚠ MISE À JOUR 27/07/2026 — Chaîne complète des blocages rencontrés en conditions réelles : (1) Standard_B1s / Standard_B1ls indisponibles (France Central, Germany West Central, West Europe) ; (2) Standard_B2ls_v2 refusé par la région elle-même sur West Europe / France Central / North Europe ("region not accepting new customers") ; (3) sur East US (région qui accepte), Standard_B2s ET Standard_D2s_v3 tous les deux refusés en "SkuNotAvailable — Capacity Restrictions" (testé via Azure CLI, az vm create, pas seulement le portail). Vérification du quota via `az vm list-usage --location eastus` : quota réel de 4 vCPU par famille / 4 au total sur la région — donc le blocage n'est PAS un problème de quota, c'est une pénurie de capacité physique ponctuelle sur des SKU précis. Décision : tester la série D v7 (dernière génération, ex. Standard_D2s_v7), qui apparaît comme groupe normal dans le sélecteur de taille du portail (contrairement aux groupes "indisponible"/"quota insuffisant") — signe qu'elle n'a pas encore les mêmes restrictions. Coût réel dans tous les cas négligeable : facturation à la minute, pas au tarif mensuel affiché.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0. Pré-requis</w:t>
      </w:r>
    </w:p>
    <w:p>
      <w:pPr>
        <w:pStyle w:val="ListBullet"/>
        <w:spacing w:after="40"/>
        <w:ind w:left="567"/>
      </w:pPr>
      <w:r>
        <w:rPr>
          <w:b/>
          <w:color w:val="1F3864"/>
        </w:rPr>
        <w:t xml:space="preserve">Compte : </w:t>
      </w:r>
      <w:r>
        <w:rPr>
          <w:color w:val="374151"/>
        </w:rPr>
        <w:t>compte Microsoft personnel (pas le compte académique Lyon 2, bloqué par la politique de sécurité de l'université).</w:t>
      </w:r>
    </w:p>
    <w:p>
      <w:pPr>
        <w:pStyle w:val="ListBullet"/>
        <w:spacing w:after="40"/>
        <w:ind w:left="567"/>
      </w:pPr>
      <w:r>
        <w:rPr>
          <w:b/>
          <w:color w:val="1F3864"/>
        </w:rPr>
        <w:t xml:space="preserve">Outil local : </w:t>
      </w:r>
      <w:r>
        <w:rPr>
          <w:color w:val="374151"/>
        </w:rPr>
        <w:t>un client SSH local (Terminal sur Mac/Linux, ou PowerShell / Git Bash / PuTTY sous Windows) pour se connecter à la VM à l'étape 5.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1. Créer l'alerte de budget (avant toute ressource)</w:t>
      </w:r>
    </w:p>
    <w:p>
      <w:pPr>
        <w:pStyle w:val="ListNumber"/>
        <w:spacing w:after="60"/>
      </w:pPr>
      <w:r>
        <w:rPr>
          <w:b/>
          <w:color w:val="1F3864"/>
        </w:rPr>
        <w:t xml:space="preserve">Étape : </w:t>
      </w:r>
      <w:r>
        <w:rPr>
          <w:color w:val="374151"/>
        </w:rPr>
        <w:t xml:space="preserve">Rechercher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Recherche : </w:t>
      </w:r>
      <w:r>
        <w:rPr>
          <w:rFonts w:ascii="Consolas" w:hAnsi="Consolas"/>
          <w:b/>
          <w:color w:val="1F3864"/>
          <w:sz w:val="19"/>
        </w:rPr>
        <w:t>Cost Management + Facturation</w:t>
      </w:r>
    </w:p>
    <w:p>
      <w:pPr>
        <w:pStyle w:val="ListNumber"/>
        <w:spacing w:after="60"/>
      </w:pPr>
      <w:r>
        <w:rPr>
          <w:color w:val="374151"/>
        </w:rPr>
        <w:t xml:space="preserve">Menu de gauche → 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Section : </w:t>
      </w:r>
      <w:r>
        <w:rPr>
          <w:rFonts w:ascii="Consolas" w:hAnsi="Consolas"/>
          <w:b/>
          <w:color w:val="1F3864"/>
          <w:sz w:val="19"/>
        </w:rPr>
        <w:t>Budgets</w:t>
      </w:r>
    </w:p>
    <w:p>
      <w:pPr>
        <w:pStyle w:val="ListNumber"/>
        <w:spacing w:after="60"/>
      </w:pPr>
      <w:r>
        <w:rPr>
          <w:color w:val="374151"/>
        </w:rPr>
        <w:t xml:space="preserve">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+ Ajouter</w:t>
      </w:r>
    </w:p>
    <w:p>
      <w:pPr>
        <w:pStyle w:val="ListNumber"/>
        <w:spacing w:after="60"/>
      </w:pPr>
      <w:r>
        <w:rPr>
          <w:color w:val="374151"/>
        </w:rPr>
        <w:t>Renseigner les informations de base du budget :</w:t>
      </w:r>
    </w:p>
    <w:p>
      <w:pPr>
        <w:spacing w:after="20"/>
        <w:ind w:left="567"/>
      </w:pPr>
      <w:r>
        <w:rPr>
          <w:color w:val="374151"/>
          <w:sz w:val="19"/>
        </w:rPr>
        <w:t xml:space="preserve">Nom : </w:t>
      </w:r>
      <w:r>
        <w:rPr>
          <w:rFonts w:ascii="Consolas" w:hAnsi="Consolas"/>
          <w:b/>
          <w:color w:val="1F3864"/>
          <w:sz w:val="19"/>
        </w:rPr>
        <w:t>budget-lab-securite</w:t>
      </w:r>
    </w:p>
    <w:p>
      <w:pPr>
        <w:spacing w:after="20"/>
        <w:ind w:left="567"/>
      </w:pPr>
      <w:r>
        <w:rPr>
          <w:color w:val="374151"/>
          <w:sz w:val="19"/>
        </w:rPr>
        <w:t xml:space="preserve">Période de réinitialisation : </w:t>
      </w:r>
      <w:r>
        <w:rPr>
          <w:rFonts w:ascii="Consolas" w:hAnsi="Consolas"/>
          <w:b/>
          <w:color w:val="1F3864"/>
          <w:sz w:val="19"/>
        </w:rPr>
        <w:t>Mensuel</w:t>
      </w:r>
    </w:p>
    <w:p>
      <w:pPr>
        <w:spacing w:after="20"/>
        <w:ind w:left="567"/>
      </w:pPr>
      <w:r>
        <w:rPr>
          <w:color w:val="374151"/>
          <w:sz w:val="19"/>
        </w:rPr>
        <w:t xml:space="preserve">Montant : </w:t>
      </w:r>
      <w:r>
        <w:rPr>
          <w:rFonts w:ascii="Consolas" w:hAnsi="Consolas"/>
          <w:b/>
          <w:color w:val="1F3864"/>
          <w:sz w:val="19"/>
        </w:rPr>
        <w:t>5 (USD ou EUR selon la devise du compte)</w:t>
      </w:r>
    </w:p>
    <w:p>
      <w:pPr>
        <w:pStyle w:val="ListNumber"/>
        <w:spacing w:after="60"/>
      </w:pPr>
      <w:r>
        <w:rPr>
          <w:color w:val="374151"/>
        </w:rPr>
        <w:t xml:space="preserve">Passer à l'écran </w:t>
      </w:r>
    </w:p>
    <w:p>
      <w:pPr>
        <w:spacing w:after="20"/>
        <w:ind w:left="567"/>
      </w:pPr>
      <w:r>
        <w:rPr>
          <w:color w:val="374151"/>
          <w:sz w:val="19"/>
        </w:rPr>
        <w:t xml:space="preserve">Section : </w:t>
      </w:r>
      <w:r>
        <w:rPr>
          <w:rFonts w:ascii="Consolas" w:hAnsi="Consolas"/>
          <w:b/>
          <w:color w:val="1F3864"/>
          <w:sz w:val="19"/>
        </w:rPr>
        <w:t>Conditions d'alerte</w:t>
      </w:r>
    </w:p>
    <w:p>
      <w:pPr>
        <w:pStyle w:val="ListNumber"/>
        <w:spacing w:after="60"/>
      </w:pPr>
      <w:r>
        <w:rPr>
          <w:color w:val="374151"/>
        </w:rPr>
        <w:t>Ajouter une condition :</w:t>
      </w:r>
    </w:p>
    <w:p>
      <w:pPr>
        <w:spacing w:after="20"/>
        <w:ind w:left="567"/>
      </w:pPr>
      <w:r>
        <w:rPr>
          <w:color w:val="374151"/>
          <w:sz w:val="19"/>
        </w:rPr>
        <w:t xml:space="preserve">Type : </w:t>
      </w:r>
      <w:r>
        <w:rPr>
          <w:rFonts w:ascii="Consolas" w:hAnsi="Consolas"/>
          <w:b/>
          <w:color w:val="1F3864"/>
          <w:sz w:val="19"/>
        </w:rPr>
        <w:t>Réel</w:t>
      </w:r>
    </w:p>
    <w:p>
      <w:pPr>
        <w:spacing w:after="20"/>
        <w:ind w:left="567"/>
      </w:pPr>
      <w:r>
        <w:rPr>
          <w:color w:val="374151"/>
          <w:sz w:val="19"/>
        </w:rPr>
        <w:t xml:space="preserve">% du budget : </w:t>
      </w:r>
      <w:r>
        <w:rPr>
          <w:rFonts w:ascii="Consolas" w:hAnsi="Consolas"/>
          <w:b/>
          <w:color w:val="1F3864"/>
          <w:sz w:val="19"/>
        </w:rPr>
        <w:t>80</w:t>
      </w:r>
    </w:p>
    <w:p>
      <w:pPr>
        <w:pStyle w:val="ListNumber"/>
        <w:spacing w:after="60"/>
      </w:pPr>
      <w:r>
        <w:rPr>
          <w:color w:val="374151"/>
        </w:rPr>
        <w:t xml:space="preserve">Renseigner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Destinataires (e-mail) de l'alerte : </w:t>
      </w:r>
      <w:r>
        <w:rPr>
          <w:rFonts w:ascii="Consolas" w:hAnsi="Consolas"/>
          <w:b/>
          <w:color w:val="1F3864"/>
          <w:sz w:val="19"/>
        </w:rPr>
        <w:t>ton adresse email personnelle</w:t>
      </w:r>
    </w:p>
    <w:p>
      <w:pPr>
        <w:pStyle w:val="ListNumber"/>
        <w:spacing w:after="60"/>
      </w:pPr>
      <w:r>
        <w:rPr>
          <w:color w:val="374151"/>
        </w:rPr>
        <w:t xml:space="preserve">Laisser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Préférence linguistique : </w:t>
      </w:r>
      <w:r>
        <w:rPr>
          <w:rFonts w:ascii="Consolas" w:hAnsi="Consolas"/>
          <w:b/>
          <w:color w:val="1F3864"/>
          <w:sz w:val="19"/>
        </w:rPr>
        <w:t>Par défaut</w:t>
      </w:r>
    </w:p>
    <w:p>
      <w:pPr>
        <w:pStyle w:val="ListNumber"/>
        <w:spacing w:after="60"/>
      </w:pPr>
      <w:r>
        <w:rPr>
          <w:color w:val="374151"/>
        </w:rPr>
        <w:t xml:space="preserve">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Créer</w:t>
      </w:r>
    </w:p>
    <w:p>
      <w:pPr>
        <w:spacing w:before="80" w:after="160"/>
        <w:ind w:left="227"/>
      </w:pPr>
      <w:r>
        <w:rPr>
          <w:b/>
          <w:color w:val="B45A00"/>
        </w:rPr>
        <w:t xml:space="preserve">⚠ </w:t>
      </w:r>
      <w:r>
        <w:rPr>
          <w:i/>
          <w:color w:val="B45A00"/>
          <w:sz w:val="19"/>
        </w:rPr>
        <w:t>Ne jamais cliquer sur "Mettre à niveau" / "Passer en paiement à l'usage" si le portail le propose — c'est la seule action qui active une facturation réelle.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2. Créer le groupe de ressources</w:t>
      </w:r>
    </w:p>
    <w:p>
      <w:pPr>
        <w:pStyle w:val="ListNumber"/>
        <w:spacing w:after="60"/>
      </w:pPr>
      <w:r>
        <w:rPr>
          <w:b/>
          <w:color w:val="1F3864"/>
        </w:rPr>
        <w:t xml:space="preserve">Étape : </w:t>
      </w:r>
      <w:r>
        <w:rPr>
          <w:color w:val="374151"/>
        </w:rPr>
        <w:t xml:space="preserve">Rechercher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Recherche : </w:t>
      </w:r>
      <w:r>
        <w:rPr>
          <w:rFonts w:ascii="Consolas" w:hAnsi="Consolas"/>
          <w:b/>
          <w:color w:val="1F3864"/>
          <w:sz w:val="19"/>
        </w:rPr>
        <w:t>Groupes de ressources</w:t>
      </w:r>
    </w:p>
    <w:p>
      <w:pPr>
        <w:pStyle w:val="ListNumber"/>
        <w:spacing w:after="60"/>
      </w:pPr>
      <w:r>
        <w:rPr>
          <w:color w:val="374151"/>
        </w:rPr>
        <w:t xml:space="preserve">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+ Créer</w:t>
      </w:r>
    </w:p>
    <w:p>
      <w:pPr>
        <w:pStyle w:val="ListNumber"/>
        <w:spacing w:after="60"/>
      </w:pPr>
      <w:r>
        <w:rPr>
          <w:color w:val="374151"/>
        </w:rPr>
        <w:t>Renseigner :</w:t>
      </w:r>
    </w:p>
    <w:p>
      <w:pPr>
        <w:spacing w:after="20"/>
        <w:ind w:left="567"/>
      </w:pPr>
      <w:r>
        <w:rPr>
          <w:color w:val="374151"/>
          <w:sz w:val="19"/>
        </w:rPr>
        <w:t xml:space="preserve">Abonnement : </w:t>
      </w:r>
      <w:r>
        <w:rPr>
          <w:rFonts w:ascii="Consolas" w:hAnsi="Consolas"/>
          <w:b/>
          <w:color w:val="1F3864"/>
          <w:sz w:val="19"/>
        </w:rPr>
        <w:t>Azure Free Trial (Essai gratuit)</w:t>
      </w:r>
    </w:p>
    <w:p>
      <w:pPr>
        <w:spacing w:after="20"/>
        <w:ind w:left="567"/>
      </w:pPr>
      <w:r>
        <w:rPr>
          <w:color w:val="374151"/>
          <w:sz w:val="19"/>
        </w:rPr>
        <w:t xml:space="preserve">Groupe de ressources : </w:t>
      </w:r>
      <w:r>
        <w:rPr>
          <w:rFonts w:ascii="Consolas" w:hAnsi="Consolas"/>
          <w:b/>
          <w:color w:val="1F3864"/>
          <w:sz w:val="19"/>
        </w:rPr>
        <w:t>rg-lab-security</w:t>
      </w:r>
    </w:p>
    <w:p>
      <w:pPr>
        <w:spacing w:after="20"/>
        <w:ind w:left="567"/>
      </w:pPr>
      <w:r>
        <w:t>Région : East US (West Europe, France Central et North Europe refusent les nouveaux déploiements sur ce compte, cf. note ci-dessus)</w:t>
      </w:r>
    </w:p>
    <w:p>
      <w:pPr>
        <w:pStyle w:val="ListNumber"/>
        <w:spacing w:after="60"/>
      </w:pPr>
      <w:r>
        <w:rPr>
          <w:color w:val="374151"/>
        </w:rPr>
        <w:t xml:space="preserve">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Vérifier + créer</w:t>
      </w:r>
    </w:p>
    <w:p>
      <w:pPr>
        <w:pStyle w:val="ListNumber"/>
        <w:spacing w:after="60"/>
      </w:pPr>
      <w:r>
        <w:rPr>
          <w:color w:val="374151"/>
        </w:rPr>
        <w:t xml:space="preserve">Puis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Créer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3. Déployer la machine virtuelle (VNet, Subnet et NSG créés automatiquement)</w:t>
      </w:r>
    </w:p>
    <w:p>
      <w:pPr>
        <w:spacing w:after="120"/>
      </w:pPr>
      <w:r>
        <w:rPr>
          <w:color w:val="374151"/>
          <w:sz w:val="21"/>
        </w:rPr>
        <w:t>La création de VM via l'assistant Azure propose par défaut de créer un nouveau réseau virtuel, un sous-réseau et un groupe de sécurité réseau en même temps — pas besoin de les créer séparément.</w:t>
      </w:r>
    </w:p>
    <w:p>
      <w:pPr>
        <w:spacing w:before="200" w:after="80"/>
      </w:pPr>
      <w:r>
        <w:rPr>
          <w:b/>
          <w:color w:val="1F3864"/>
          <w:sz w:val="21"/>
        </w:rPr>
        <w:t>Onglet "Bases"</w:t>
      </w:r>
    </w:p>
    <w:p>
      <w:pPr>
        <w:pStyle w:val="ListNumber"/>
        <w:spacing w:after="60"/>
      </w:pPr>
      <w:r>
        <w:rPr>
          <w:b/>
          <w:color w:val="1F3864"/>
        </w:rPr>
        <w:t xml:space="preserve">Étape : </w:t>
      </w:r>
      <w:r>
        <w:rPr>
          <w:color w:val="374151"/>
        </w:rPr>
        <w:t xml:space="preserve">Rechercher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Recherche : </w:t>
      </w:r>
      <w:r>
        <w:rPr>
          <w:rFonts w:ascii="Consolas" w:hAnsi="Consolas"/>
          <w:b/>
          <w:color w:val="1F3864"/>
          <w:sz w:val="19"/>
        </w:rPr>
        <w:t>Machines virtuelles</w:t>
      </w:r>
    </w:p>
    <w:p>
      <w:pPr>
        <w:pStyle w:val="ListNumber"/>
        <w:spacing w:after="60"/>
      </w:pPr>
      <w:r>
        <w:rPr>
          <w:color w:val="374151"/>
        </w:rPr>
        <w:t xml:space="preserve">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+ Créer  →  Machine virtuelle Azure</w:t>
      </w:r>
    </w:p>
    <w:p>
      <w:pPr>
        <w:pStyle w:val="ListNumber"/>
        <w:spacing w:after="60"/>
      </w:pPr>
      <w:r>
        <w:rPr>
          <w:color w:val="374151"/>
        </w:rPr>
        <w:t>Renseigner :</w:t>
      </w:r>
    </w:p>
    <w:p>
      <w:pPr>
        <w:spacing w:after="20"/>
        <w:ind w:left="567"/>
      </w:pPr>
      <w:r>
        <w:rPr>
          <w:color w:val="374151"/>
          <w:sz w:val="19"/>
        </w:rPr>
        <w:t xml:space="preserve">Groupe de ressources : </w:t>
      </w:r>
      <w:r>
        <w:rPr>
          <w:rFonts w:ascii="Consolas" w:hAnsi="Consolas"/>
          <w:b/>
          <w:color w:val="1F3864"/>
          <w:sz w:val="19"/>
        </w:rPr>
        <w:t>rg-lab-security</w:t>
      </w:r>
    </w:p>
    <w:p>
      <w:pPr>
        <w:spacing w:after="20"/>
        <w:ind w:left="567"/>
      </w:pPr>
      <w:r>
        <w:rPr>
          <w:color w:val="374151"/>
          <w:sz w:val="19"/>
        </w:rPr>
        <w:t xml:space="preserve">Nom de la machine virtuelle : </w:t>
      </w:r>
      <w:r>
        <w:rPr>
          <w:rFonts w:ascii="Consolas" w:hAnsi="Consolas"/>
          <w:b/>
          <w:color w:val="1F3864"/>
          <w:sz w:val="19"/>
        </w:rPr>
        <w:t>vm-lab-01</w:t>
      </w:r>
    </w:p>
    <w:p>
      <w:pPr>
        <w:spacing w:after="20"/>
        <w:ind w:left="567"/>
      </w:pPr>
      <w:r>
        <w:rPr>
          <w:color w:val="374151"/>
          <w:sz w:val="19"/>
        </w:rPr>
        <w:t>Région : East US</w:t>
      </w:r>
      <w:r>
        <w:rPr>
          <w:rFonts w:ascii="Consolas" w:hAnsi="Consolas"/>
          <w:b/>
          <w:color w:val="1F3864"/>
          <w:sz w:val="19"/>
        </w:rPr>
      </w:r>
    </w:p>
    <w:p>
      <w:pPr>
        <w:spacing w:after="20"/>
        <w:ind w:left="567"/>
      </w:pPr>
      <w:r>
        <w:rPr>
          <w:color w:val="374151"/>
          <w:sz w:val="19"/>
        </w:rPr>
        <w:t xml:space="preserve">Options de disponibilité : </w:t>
      </w:r>
      <w:r>
        <w:rPr>
          <w:rFonts w:ascii="Consolas" w:hAnsi="Consolas"/>
          <w:b/>
          <w:color w:val="1F3864"/>
          <w:sz w:val="19"/>
        </w:rPr>
        <w:t>Aucune redondance d'infrastructure requise</w:t>
      </w:r>
    </w:p>
    <w:p>
      <w:pPr>
        <w:spacing w:after="20"/>
        <w:ind w:left="567"/>
      </w:pPr>
      <w:r>
        <w:rPr>
          <w:color w:val="374151"/>
          <w:sz w:val="19"/>
        </w:rPr>
        <w:t xml:space="preserve">Type de sécurité : </w:t>
      </w:r>
      <w:r>
        <w:rPr>
          <w:rFonts w:ascii="Consolas" w:hAnsi="Consolas"/>
          <w:b/>
          <w:color w:val="1F3864"/>
          <w:sz w:val="19"/>
        </w:rPr>
        <w:t>Standard</w:t>
      </w:r>
    </w:p>
    <w:p>
      <w:pPr>
        <w:spacing w:after="20"/>
        <w:ind w:left="567"/>
      </w:pPr>
      <w:r>
        <w:rPr>
          <w:color w:val="374151"/>
          <w:sz w:val="19"/>
        </w:rPr>
        <w:t xml:space="preserve">Image : </w:t>
      </w:r>
      <w:r>
        <w:rPr>
          <w:rFonts w:ascii="Consolas" w:hAnsi="Consolas"/>
          <w:b/>
          <w:color w:val="1F3864"/>
          <w:sz w:val="19"/>
        </w:rPr>
        <w:t>Ubuntu Server 22.04 LTS - x64 Gen2</w:t>
      </w:r>
    </w:p>
    <w:p>
      <w:pPr>
        <w:spacing w:after="20"/>
        <w:ind w:left="567"/>
      </w:pPr>
      <w:r>
        <w:t>Taille : Standard_D2s_v7 (2 vCPU, 8 Gio RAM) — CONFIRMÉ FONCTIONNEL le 27/07/2026 en East US, après échec de B1s/B1ls/B2ls_v2/B2s/D2s_v3 (restrictions de capacité). VM créée avec succès, en cours d'exécution, IP publique x.x.x.x.</w:t>
      </w:r>
    </w:p>
    <w:p>
      <w:pPr>
        <w:spacing w:after="20"/>
        <w:ind w:left="567"/>
      </w:pPr>
      <w:r>
        <w:rPr>
          <w:color w:val="374151"/>
          <w:sz w:val="19"/>
        </w:rPr>
        <w:t xml:space="preserve">Type d'authentification : </w:t>
      </w:r>
      <w:r>
        <w:rPr>
          <w:rFonts w:ascii="Consolas" w:hAnsi="Consolas"/>
          <w:b/>
          <w:color w:val="1F3864"/>
          <w:sz w:val="19"/>
        </w:rPr>
        <w:t>Clé publique SSH</w:t>
      </w:r>
    </w:p>
    <w:p>
      <w:pPr>
        <w:spacing w:after="20"/>
        <w:ind w:left="567"/>
      </w:pPr>
      <w:r>
        <w:rPr>
          <w:color w:val="374151"/>
          <w:sz w:val="19"/>
        </w:rPr>
        <w:t xml:space="preserve">Nom d'utilisateur : </w:t>
      </w:r>
      <w:r>
        <w:rPr>
          <w:rFonts w:ascii="Consolas" w:hAnsi="Consolas"/>
          <w:b/>
          <w:color w:val="1F3864"/>
          <w:sz w:val="19"/>
        </w:rPr>
        <w:t>azureuser</w:t>
      </w:r>
    </w:p>
    <w:p>
      <w:pPr>
        <w:spacing w:after="20"/>
        <w:ind w:left="567"/>
      </w:pPr>
      <w:r>
        <w:rPr>
          <w:color w:val="374151"/>
          <w:sz w:val="19"/>
        </w:rPr>
        <w:t xml:space="preserve">Paire de clés SSH : </w:t>
      </w:r>
      <w:r>
        <w:rPr>
          <w:rFonts w:ascii="Consolas" w:hAnsi="Consolas"/>
          <w:b/>
          <w:color w:val="1F3864"/>
          <w:sz w:val="19"/>
        </w:rPr>
        <w:t>Générer une nouvelle paire de clés</w:t>
      </w:r>
    </w:p>
    <w:p>
      <w:pPr>
        <w:spacing w:after="20"/>
        <w:ind w:left="567"/>
      </w:pPr>
      <w:r>
        <w:rPr>
          <w:color w:val="374151"/>
          <w:sz w:val="19"/>
        </w:rPr>
        <w:t xml:space="preserve">Nom de la paire de clés : </w:t>
      </w:r>
      <w:r>
        <w:rPr>
          <w:rFonts w:ascii="Consolas" w:hAnsi="Consolas"/>
          <w:b/>
          <w:color w:val="1F3864"/>
          <w:sz w:val="19"/>
        </w:rPr>
        <w:t>cle-vm-lab-01</w:t>
      </w:r>
    </w:p>
    <w:p>
      <w:pPr>
        <w:pStyle w:val="ListNumber"/>
        <w:spacing w:after="60"/>
      </w:pPr>
      <w:r>
        <w:rPr>
          <w:color w:val="374151"/>
        </w:rPr>
        <w:t xml:space="preserve">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Télécharger la clé privée et créer la ressource</w:t>
      </w:r>
    </w:p>
    <w:p>
      <w:pPr>
        <w:spacing w:before="80" w:after="160"/>
        <w:ind w:left="227"/>
      </w:pPr>
      <w:r>
        <w:rPr>
          <w:b/>
          <w:color w:val="B45A00"/>
        </w:rPr>
        <w:t xml:space="preserve">⚠ </w:t>
      </w:r>
      <w:r>
        <w:rPr>
          <w:i/>
          <w:color w:val="B45A00"/>
          <w:sz w:val="19"/>
        </w:rPr>
        <w:t>Cette étape télécharge un fichier .pem — le conserver précieusement, il ne sera plus jamais téléchargeable après coup.</w:t>
      </w:r>
    </w:p>
    <w:p>
      <w:pPr>
        <w:spacing w:before="200" w:after="80"/>
      </w:pPr>
      <w:r>
        <w:rPr>
          <w:b/>
          <w:color w:val="1F3864"/>
          <w:sz w:val="21"/>
        </w:rPr>
        <w:t>Onglet "Mise en réseau"</w:t>
      </w:r>
    </w:p>
    <w:p>
      <w:pPr>
        <w:spacing w:after="20"/>
        <w:ind w:left="567"/>
      </w:pPr>
      <w:r>
        <w:rPr>
          <w:color w:val="374151"/>
          <w:sz w:val="19"/>
        </w:rPr>
        <w:t xml:space="preserve">Réseau virtuel : </w:t>
      </w:r>
      <w:r>
        <w:rPr>
          <w:rFonts w:ascii="Consolas" w:hAnsi="Consolas"/>
          <w:b/>
          <w:color w:val="1F3864"/>
          <w:sz w:val="19"/>
        </w:rPr>
        <w:t>(nouveau) vm-lab-01-vnet — laisser la valeur par défaut</w:t>
      </w:r>
    </w:p>
    <w:p>
      <w:pPr>
        <w:spacing w:after="20"/>
        <w:ind w:left="567"/>
      </w:pPr>
      <w:r>
        <w:rPr>
          <w:color w:val="374151"/>
          <w:sz w:val="19"/>
        </w:rPr>
        <w:t xml:space="preserve">Sous-réseau : </w:t>
      </w:r>
      <w:r>
        <w:rPr>
          <w:rFonts w:ascii="Consolas" w:hAnsi="Consolas"/>
          <w:b/>
          <w:color w:val="1F3864"/>
          <w:sz w:val="19"/>
        </w:rPr>
        <w:t>(nouveau) default (10.0.0.0/24) — laisser la valeur par défaut</w:t>
      </w:r>
    </w:p>
    <w:p>
      <w:pPr>
        <w:spacing w:after="20"/>
        <w:ind w:left="567"/>
      </w:pPr>
      <w:r>
        <w:rPr>
          <w:color w:val="374151"/>
          <w:sz w:val="19"/>
        </w:rPr>
        <w:t xml:space="preserve">Adresse IP publique : </w:t>
      </w:r>
      <w:r>
        <w:rPr>
          <w:rFonts w:ascii="Consolas" w:hAnsi="Consolas"/>
          <w:b/>
          <w:color w:val="1F3864"/>
          <w:sz w:val="19"/>
        </w:rPr>
        <w:t>(nouvelle) — laisser la valeur par défaut</w:t>
      </w:r>
    </w:p>
    <w:p>
      <w:pPr>
        <w:spacing w:after="20"/>
        <w:ind w:left="567"/>
      </w:pPr>
      <w:r>
        <w:rPr>
          <w:color w:val="374151"/>
          <w:sz w:val="19"/>
        </w:rPr>
        <w:t xml:space="preserve">Groupe de sécurité réseau (NSG) du port entrant : </w:t>
      </w:r>
      <w:r>
        <w:rPr>
          <w:rFonts w:ascii="Consolas" w:hAnsi="Consolas"/>
          <w:b/>
          <w:color w:val="1F3864"/>
          <w:sz w:val="19"/>
        </w:rPr>
        <w:t>De base</w:t>
      </w:r>
    </w:p>
    <w:p>
      <w:pPr>
        <w:spacing w:after="20"/>
        <w:ind w:left="567"/>
      </w:pPr>
      <w:r>
        <w:rPr>
          <w:color w:val="374151"/>
          <w:sz w:val="19"/>
        </w:rPr>
        <w:t xml:space="preserve">Règles de ports d'entrée publics : </w:t>
      </w:r>
      <w:r>
        <w:rPr>
          <w:rFonts w:ascii="Consolas" w:hAnsi="Consolas"/>
          <w:b/>
          <w:color w:val="1F3864"/>
          <w:sz w:val="19"/>
        </w:rPr>
        <w:t>Autoriser les ports sélectionnés</w:t>
      </w:r>
    </w:p>
    <w:p>
      <w:pPr>
        <w:spacing w:after="20"/>
        <w:ind w:left="567"/>
      </w:pPr>
      <w:r>
        <w:rPr>
          <w:color w:val="374151"/>
          <w:sz w:val="19"/>
        </w:rPr>
        <w:t xml:space="preserve">Ports d'entrée publics à sélectionner : </w:t>
      </w:r>
      <w:r>
        <w:rPr>
          <w:rFonts w:ascii="Consolas" w:hAnsi="Consolas"/>
          <w:b/>
          <w:color w:val="1F3864"/>
          <w:sz w:val="19"/>
        </w:rPr>
        <w:t>SSH (22) uniquement</w:t>
      </w:r>
    </w:p>
    <w:p>
      <w:pPr>
        <w:spacing w:before="200" w:after="80"/>
      </w:pPr>
      <w:r>
        <w:rPr>
          <w:b/>
          <w:color w:val="1F3864"/>
          <w:sz w:val="21"/>
        </w:rPr>
        <w:t>Finalisation</w:t>
      </w:r>
    </w:p>
    <w:p>
      <w:pPr>
        <w:pStyle w:val="ListNumber"/>
        <w:spacing w:after="60"/>
      </w:pPr>
      <w:r>
        <w:rPr>
          <w:color w:val="374151"/>
        </w:rPr>
        <w:t xml:space="preserve">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Vérifier + créer</w:t>
      </w:r>
    </w:p>
    <w:p>
      <w:pPr>
        <w:pStyle w:val="ListNumber"/>
        <w:spacing w:after="60"/>
      </w:pPr>
      <w:r>
        <w:rPr>
          <w:color w:val="374151"/>
        </w:rPr>
        <w:t xml:space="preserve">Vérifier qu'aucune erreur n'apparaît, puis 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Créer</w:t>
      </w:r>
    </w:p>
    <w:p>
      <w:pPr>
        <w:pStyle w:val="ListNumber"/>
        <w:spacing w:after="60"/>
      </w:pPr>
      <w:r>
        <w:rPr>
          <w:color w:val="374151"/>
        </w:rPr>
        <w:t>Le téléchargement de la clé .pem se déclenche automatiquement — la garder.</w:t>
      </w:r>
    </w:p>
    <w:p>
      <w:pPr>
        <w:pStyle w:val="ListNumber"/>
        <w:spacing w:after="60"/>
      </w:pPr>
      <w:r>
        <w:rPr>
          <w:color w:val="374151"/>
        </w:rPr>
        <w:t xml:space="preserve">Attendre la fin du déploiement (1-2 minutes), puis 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Accéder à la ressource</w:t>
      </w:r>
    </w:p>
    <w:p>
      <w:r>
        <w:rPr>
          <w:b/>
        </w:rPr>
        <w:t>3bis. Configurer l'arrêt automatique (filet de sécurité budget)</w:t>
      </w:r>
    </w:p>
    <w:p>
      <w:r>
        <w:t>Comme la taille retenue n'est pas une offre gratuite illimitée, ce filet de sécurité évite qu'une VM oubliée allumée ne consomme le crédit d'essai en continu.</w:t>
      </w:r>
    </w:p>
    <w:p>
      <w:r>
        <w:t xml:space="preserve">Étape : Sur la page de la VM, menu de gauche → </w:t>
      </w:r>
    </w:p>
    <w:p>
      <w:r>
        <w:t>Section : Opérations → Arrêt automatique</w:t>
      </w:r>
    </w:p>
    <w:p>
      <w:r>
        <w:t>Activer : Oui</w:t>
      </w:r>
    </w:p>
    <w:p>
      <w:r>
        <w:t>Heure d'arrêt : 23:00 (ou une heure après laquelle une session ne devrait jamais être en cours)</w:t>
      </w:r>
    </w:p>
    <w:p>
      <w:r>
        <w:t>Fuseau horaire : Paris</w:t>
      </w:r>
    </w:p>
    <w:p>
      <w:r>
        <w:t>Notification avant arrêt : activer, avec ton email personnel</w:t>
      </w:r>
    </w:p>
    <w:p>
      <w:r>
        <w:t xml:space="preserve">Cliquer sur </w:t>
      </w:r>
    </w:p>
    <w:p>
      <w:r>
        <w:t>Bouton : Enregistrer</w:t>
      </w:r>
    </w:p>
    <w:p>
      <w:r>
        <w:t>⚠ Ce réglage est un filet de sécurité, pas un substitut : continuer à arrêter/désallouer manuellement la VM à la fin de chaque session (étape 10).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4. Se connecter en SSH</w:t>
      </w:r>
    </w:p>
    <w:p>
      <w:pPr>
        <w:spacing w:after="120"/>
      </w:pPr>
      <w:r>
        <w:rPr>
          <w:color w:val="374151"/>
          <w:sz w:val="21"/>
        </w:rPr>
        <w:t>Depuis un terminal local, dans le dossier où la clé .pem a été téléchargée :</w:t>
      </w:r>
    </w:p>
    <w:p>
      <w:pPr>
        <w:ind w:left="567"/>
      </w:pPr>
      <w:r>
        <w:rPr>
          <w:rFonts w:ascii="Consolas" w:hAnsi="Consolas"/>
          <w:color w:val="1F3864"/>
          <w:sz w:val="19"/>
        </w:rPr>
        <w:t>chmod 400 cle-vm-lab-01.pem</w:t>
      </w:r>
    </w:p>
    <w:p>
      <w:pPr>
        <w:ind w:left="567"/>
      </w:pPr>
      <w:r>
        <w:rPr>
          <w:rFonts w:ascii="Consolas" w:hAnsi="Consolas"/>
          <w:color w:val="1F3864"/>
          <w:sz w:val="19"/>
        </w:rPr>
        <w:t>ssh -i cle-vm-lab-01.pem azureuser@&lt;IP-PUBLIQUE-DE-LA-VM&gt;</w:t>
      </w:r>
    </w:p>
    <w:p>
      <w:pPr>
        <w:spacing w:after="120"/>
      </w:pPr>
      <w:r>
        <w:rPr>
          <w:color w:val="374151"/>
          <w:sz w:val="21"/>
        </w:rPr>
        <w:t>L'IP publique se trouve sur la page "Vue d'ensemble" de la VM dans le portail Azure. Sous Windows sans WSL, utiliser PowerShell (ssh est disponible nativement depuis Windows 10) ou PuTTY.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5. Durcir l'accès réseau (le cœur de l'exercice sécurité)</w:t>
      </w:r>
    </w:p>
    <w:p>
      <w:pPr>
        <w:pStyle w:val="ListNumber"/>
        <w:spacing w:after="60"/>
      </w:pPr>
      <w:r>
        <w:rPr>
          <w:b/>
          <w:color w:val="1F3864"/>
        </w:rPr>
        <w:t xml:space="preserve">Étape : </w:t>
      </w:r>
      <w:r>
        <w:rPr>
          <w:color w:val="374151"/>
        </w:rPr>
        <w:t xml:space="preserve">Sur la page de la VM, menu de gauche → </w:t>
      </w:r>
    </w:p>
    <w:p>
      <w:pPr>
        <w:spacing w:after="20"/>
        <w:ind w:left="567"/>
      </w:pPr>
      <w:r>
        <w:rPr>
          <w:color w:val="374151"/>
          <w:sz w:val="19"/>
        </w:rPr>
        <w:t xml:space="preserve">Section : </w:t>
      </w:r>
      <w:r>
        <w:rPr>
          <w:rFonts w:ascii="Consolas" w:hAnsi="Consolas"/>
          <w:b/>
          <w:color w:val="1F3864"/>
          <w:sz w:val="19"/>
        </w:rPr>
        <w:t>Mise en réseau</w:t>
      </w:r>
    </w:p>
    <w:p>
      <w:pPr>
        <w:pStyle w:val="ListNumber"/>
        <w:spacing w:after="60"/>
      </w:pPr>
      <w:r>
        <w:rPr>
          <w:color w:val="374151"/>
        </w:rPr>
        <w:t>Repérer la règle de sécurité entrante autorisant le port 22 (SSH)</w:t>
      </w:r>
    </w:p>
    <w:p>
      <w:pPr>
        <w:pStyle w:val="ListNumber"/>
        <w:spacing w:after="60"/>
      </w:pPr>
      <w:r>
        <w:rPr>
          <w:color w:val="374151"/>
        </w:rPr>
        <w:t>Cliquer dessus, puis modifier :</w:t>
      </w:r>
    </w:p>
    <w:p>
      <w:pPr>
        <w:spacing w:after="20"/>
        <w:ind w:left="567"/>
      </w:pPr>
      <w:r>
        <w:rPr>
          <w:color w:val="374151"/>
          <w:sz w:val="19"/>
        </w:rPr>
        <w:t xml:space="preserve">Source : </w:t>
      </w:r>
      <w:r>
        <w:rPr>
          <w:rFonts w:ascii="Consolas" w:hAnsi="Consolas"/>
          <w:b/>
          <w:color w:val="1F3864"/>
          <w:sz w:val="19"/>
        </w:rPr>
        <w:t>Adresse IP</w:t>
      </w:r>
    </w:p>
    <w:p>
      <w:pPr>
        <w:spacing w:after="20"/>
        <w:ind w:left="567"/>
      </w:pPr>
      <w:r>
        <w:rPr>
          <w:color w:val="374151"/>
          <w:sz w:val="19"/>
        </w:rPr>
        <w:t xml:space="preserve">Adresses IP source : </w:t>
      </w:r>
      <w:r>
        <w:rPr>
          <w:rFonts w:ascii="Consolas" w:hAnsi="Consolas"/>
          <w:b/>
          <w:color w:val="1F3864"/>
          <w:sz w:val="19"/>
        </w:rPr>
        <w:t>ton IP publique personnelle uniquement (ex. x.x.x.x/32) — vérifiable sur whatismyip.com</w:t>
      </w:r>
    </w:p>
    <w:p>
      <w:pPr>
        <w:pStyle w:val="ListNumber"/>
        <w:spacing w:after="60"/>
      </w:pPr>
      <w:r>
        <w:rPr>
          <w:color w:val="374151"/>
        </w:rPr>
        <w:t>Enregistrer, puis prendre une capture d'écran de la règle AVANT (source = Any) et APRÈS (source = ton IP) — première preuve pour le rapport d'audit.</w:t>
      </w:r>
    </w:p>
    <w:p>
      <w:pPr>
        <w:spacing w:before="80" w:after="160"/>
        <w:ind w:left="227"/>
      </w:pPr>
      <w:r>
        <w:rPr>
          <w:b/>
          <w:color w:val="B45A00"/>
        </w:rPr>
        <w:t xml:space="preserve">⚠ </w:t>
      </w:r>
      <w:r>
        <w:rPr>
          <w:i/>
          <w:color w:val="B45A00"/>
          <w:sz w:val="19"/>
        </w:rPr>
        <w:t>Si ton adresse IP change (box internet redémarrée, réseau différent), il faudra remettre à jour cette règle pour continuer à te connecter.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6. Activer Microsoft Defender for Cloud</w:t>
      </w:r>
    </w:p>
    <w:p>
      <w:pPr>
        <w:pStyle w:val="ListNumber"/>
        <w:spacing w:after="60"/>
      </w:pPr>
      <w:r>
        <w:rPr>
          <w:b/>
          <w:color w:val="1F3864"/>
        </w:rPr>
        <w:t xml:space="preserve">Étape : </w:t>
      </w:r>
      <w:r>
        <w:rPr>
          <w:color w:val="374151"/>
        </w:rPr>
        <w:t xml:space="preserve">Rechercher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Recherche : </w:t>
      </w:r>
      <w:r>
        <w:rPr>
          <w:rFonts w:ascii="Consolas" w:hAnsi="Consolas"/>
          <w:b/>
          <w:color w:val="1F3864"/>
          <w:sz w:val="19"/>
        </w:rPr>
        <w:t>Microsoft Defender pour le cloud</w:t>
      </w:r>
    </w:p>
    <w:p>
      <w:pPr>
        <w:pStyle w:val="ListNumber"/>
        <w:spacing w:after="60"/>
      </w:pPr>
      <w:r>
        <w:rPr>
          <w:color w:val="374151"/>
        </w:rPr>
        <w:t xml:space="preserve">Menu de gauche → </w:t>
      </w:r>
    </w:p>
    <w:p>
      <w:pPr>
        <w:spacing w:after="20"/>
        <w:ind w:left="567"/>
      </w:pPr>
      <w:r>
        <w:rPr>
          <w:color w:val="374151"/>
          <w:sz w:val="19"/>
        </w:rPr>
        <w:t xml:space="preserve">Section : </w:t>
      </w:r>
      <w:r>
        <w:rPr>
          <w:rFonts w:ascii="Consolas" w:hAnsi="Consolas"/>
          <w:b/>
          <w:color w:val="1F3864"/>
          <w:sz w:val="19"/>
        </w:rPr>
        <w:t>Gestion de l'environnement → Plans Defender</w:t>
      </w:r>
    </w:p>
    <w:p>
      <w:pPr>
        <w:pStyle w:val="ListNumber"/>
        <w:spacing w:after="60"/>
      </w:pPr>
      <w:r>
        <w:rPr>
          <w:color w:val="374151"/>
        </w:rPr>
        <w:t xml:space="preserve">Vérifier que le plan est réglé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Plan : </w:t>
      </w:r>
      <w:r>
        <w:rPr>
          <w:rFonts w:ascii="Consolas" w:hAnsi="Consolas"/>
          <w:b/>
          <w:color w:val="1F3864"/>
          <w:sz w:val="19"/>
        </w:rPr>
        <w:t>Gratuit (Foundational CSPM)</w:t>
      </w:r>
    </w:p>
    <w:p>
      <w:pPr>
        <w:pStyle w:val="ListNumber"/>
        <w:spacing w:after="60"/>
      </w:pPr>
      <w:r>
        <w:rPr>
          <w:color w:val="374151"/>
        </w:rPr>
        <w:t xml:space="preserve">Retourner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Section : </w:t>
      </w:r>
      <w:r>
        <w:rPr>
          <w:rFonts w:ascii="Consolas" w:hAnsi="Consolas"/>
          <w:b/>
          <w:color w:val="1F3864"/>
          <w:sz w:val="19"/>
        </w:rPr>
        <w:t>Vue d'ensemble</w:t>
      </w:r>
    </w:p>
    <w:p>
      <w:pPr>
        <w:pStyle w:val="ListNumber"/>
        <w:spacing w:after="60"/>
      </w:pPr>
      <w:r>
        <w:rPr>
          <w:color w:val="374151"/>
        </w:rPr>
        <w:t xml:space="preserve">Noter le </w:t>
      </w:r>
    </w:p>
    <w:p>
      <w:pPr>
        <w:spacing w:after="20"/>
        <w:ind w:left="567"/>
      </w:pPr>
      <w:r>
        <w:rPr>
          <w:color w:val="374151"/>
          <w:sz w:val="19"/>
        </w:rPr>
        <w:t xml:space="preserve">Score sécurisé : </w:t>
      </w:r>
      <w:r>
        <w:rPr>
          <w:rFonts w:ascii="Consolas" w:hAnsi="Consolas"/>
          <w:b/>
          <w:color w:val="1F3864"/>
          <w:sz w:val="19"/>
        </w:rPr>
        <w:t>affiché en %</w:t>
      </w:r>
    </w:p>
    <w:p>
      <w:pPr>
        <w:pStyle w:val="ListNumber"/>
        <w:spacing w:after="60"/>
      </w:pPr>
      <w:r>
        <w:rPr>
          <w:color w:val="374151"/>
        </w:rPr>
        <w:t>Consulter la liste des recommandations générées et en noter 2-3 pour le rapport d'audit.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7. Activer le MFA sur le compte</w:t>
      </w:r>
    </w:p>
    <w:p>
      <w:pPr>
        <w:pStyle w:val="ListNumber"/>
        <w:spacing w:after="60"/>
      </w:pPr>
      <w:r>
        <w:rPr>
          <w:b/>
          <w:color w:val="1F3864"/>
        </w:rPr>
        <w:t xml:space="preserve">Étape : </w:t>
      </w:r>
      <w:r>
        <w:rPr>
          <w:color w:val="374151"/>
        </w:rPr>
        <w:t xml:space="preserve">Rechercher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Recherche : </w:t>
      </w:r>
      <w:r>
        <w:rPr>
          <w:rFonts w:ascii="Consolas" w:hAnsi="Consolas"/>
          <w:b/>
          <w:color w:val="1F3864"/>
          <w:sz w:val="19"/>
        </w:rPr>
        <w:t>Microsoft Entra ID</w:t>
      </w:r>
    </w:p>
    <w:p>
      <w:pPr>
        <w:pStyle w:val="ListNumber"/>
        <w:spacing w:after="60"/>
      </w:pPr>
      <w:r>
        <w:rPr>
          <w:color w:val="374151"/>
        </w:rPr>
        <w:t xml:space="preserve">Menu de gauche → </w:t>
      </w:r>
    </w:p>
    <w:p>
      <w:pPr>
        <w:spacing w:after="20"/>
        <w:ind w:left="567"/>
      </w:pPr>
      <w:r>
        <w:rPr>
          <w:color w:val="374151"/>
          <w:sz w:val="19"/>
        </w:rPr>
        <w:t xml:space="preserve">Section : </w:t>
      </w:r>
      <w:r>
        <w:rPr>
          <w:rFonts w:ascii="Consolas" w:hAnsi="Consolas"/>
          <w:b/>
          <w:color w:val="1F3864"/>
          <w:sz w:val="19"/>
        </w:rPr>
        <w:t>Sécurité → Méthodes d'authentification (ou "MFA" selon la version du portail)</w:t>
      </w:r>
    </w:p>
    <w:p>
      <w:pPr>
        <w:pStyle w:val="ListNumber"/>
        <w:spacing w:after="60"/>
      </w:pPr>
      <w:r>
        <w:rPr>
          <w:color w:val="374151"/>
        </w:rPr>
        <w:t>Activer l'authentification multifacteur pour le compte utilisé.</w:t>
      </w:r>
    </w:p>
    <w:p>
      <w:pPr>
        <w:spacing w:before="80" w:after="160"/>
        <w:ind w:left="227"/>
      </w:pPr>
      <w:r>
        <w:rPr>
          <w:b/>
          <w:color w:val="B45A00"/>
        </w:rPr>
        <w:t xml:space="preserve">⚠ </w:t>
      </w:r>
      <w:r>
        <w:rPr>
          <w:i/>
          <w:color w:val="B45A00"/>
          <w:sz w:val="19"/>
        </w:rPr>
        <w:t>Sur un compte personnel (pas un tenant d'entreprise), le parcours exact peut varier — chercher "Sécurité" dans les paramètres du compte Microsoft (account.microsoft.com) si l'option n'apparaît pas directement dans Entra ID.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8. Rédiger le rapport d'audit</w:t>
      </w:r>
    </w:p>
    <w:p>
      <w:pPr>
        <w:spacing w:after="120"/>
      </w:pPr>
      <w:r>
        <w:rPr>
          <w:color w:val="374151"/>
          <w:sz w:val="21"/>
        </w:rPr>
        <w:t>Reprendre le format des diagnostics RGPD/NIS2 déjà pratiqués en stage : un constat, une recommandation, un statut avant/après, pour chaque point contrôlé. Exemple de structure :</w:t>
      </w:r>
    </w:p>
    <w:p>
      <w:pPr>
        <w:pStyle w:val="ListBullet"/>
        <w:spacing w:after="40"/>
        <w:ind w:left="567"/>
      </w:pPr>
      <w:r>
        <w:rPr>
          <w:color w:val="374151"/>
        </w:rPr>
        <w:t>Constat : port SSH (22) ouvert à tout Internet par défaut à la création → Recommandation : restreindre à l'IP de l'administrateur → Statut : corrigé.</w:t>
      </w:r>
    </w:p>
    <w:p>
      <w:pPr>
        <w:pStyle w:val="ListBullet"/>
        <w:spacing w:after="40"/>
        <w:ind w:left="567"/>
      </w:pPr>
      <w:r>
        <w:rPr>
          <w:color w:val="374151"/>
        </w:rPr>
        <w:t>Constat : Microsoft Defender for Cloud désactivé par défaut → Recommandation : activer le plan gratuit → Statut : activé, Score sécurisé initial de X %.</w:t>
      </w:r>
    </w:p>
    <w:p>
      <w:pPr>
        <w:pStyle w:val="ListBullet"/>
        <w:spacing w:after="40"/>
        <w:ind w:left="567"/>
      </w:pPr>
      <w:r>
        <w:rPr>
          <w:color w:val="374151"/>
        </w:rPr>
        <w:t>Constat : authentification multifacteur non activée sur le compte → Recommandation : activer le MFA → Statut : activé.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9. Publier sur GitHub (portfolio)</w:t>
      </w:r>
    </w:p>
    <w:p>
      <w:pPr>
        <w:pStyle w:val="ListNumber"/>
        <w:spacing w:after="60"/>
      </w:pPr>
      <w:r>
        <w:rPr>
          <w:b/>
          <w:color w:val="1F3864"/>
        </w:rPr>
        <w:t xml:space="preserve">Étape : </w:t>
      </w:r>
      <w:r>
        <w:rPr>
          <w:color w:val="374151"/>
        </w:rPr>
        <w:t xml:space="preserve">Créer un dépôt public, par exemple </w:t>
      </w:r>
    </w:p>
    <w:p>
      <w:pPr>
        <w:spacing w:after="20"/>
        <w:ind w:left="567"/>
      </w:pPr>
      <w:r>
        <w:rPr>
          <w:color w:val="374151"/>
          <w:sz w:val="19"/>
        </w:rPr>
        <w:t xml:space="preserve">Nom du dépôt : </w:t>
      </w:r>
      <w:r>
        <w:rPr>
          <w:rFonts w:ascii="Consolas" w:hAnsi="Consolas"/>
          <w:b/>
          <w:color w:val="1F3864"/>
          <w:sz w:val="19"/>
        </w:rPr>
        <w:t>lab-cloud-security-01</w:t>
      </w:r>
    </w:p>
    <w:p>
      <w:pPr>
        <w:pStyle w:val="ListNumber"/>
        <w:spacing w:after="60"/>
      </w:pPr>
      <w:r>
        <w:rPr>
          <w:color w:val="374151"/>
        </w:rPr>
        <w:t>Y déposer : les captures d'écran (NSG avant/après, Score sécurisé), le rapport d'audit, et un court README expliquant le contexte et la démarche.</w:t>
      </w:r>
    </w:p>
    <w:p>
      <w:pPr>
        <w:spacing w:before="320" w:after="120"/>
        <w:pBdr>
          <w:bottom w:val="single" w:sz="6" w:color="DDE3F0"/>
        </w:pBdr>
      </w:pPr>
      <w:r>
        <w:rPr>
          <w:b/>
          <w:color w:val="2E74B5"/>
          <w:sz w:val="25"/>
        </w:rPr>
        <w:t>10. Nettoyage après chaque session</w:t>
      </w:r>
    </w:p>
    <w:p>
      <w:pPr>
        <w:pStyle w:val="ListBullet"/>
        <w:spacing w:after="40"/>
        <w:ind w:left="567"/>
      </w:pPr>
      <w:r>
        <w:rPr>
          <w:b/>
          <w:color w:val="1F3864"/>
        </w:rPr>
        <w:t xml:space="preserve">Après usage : </w:t>
      </w:r>
      <w:r>
        <w:rPr>
          <w:color w:val="374151"/>
        </w:rPr>
        <w:t xml:space="preserve">depuis la page de la VM, cliquer sur </w:t>
      </w:r>
    </w:p>
    <w:p>
      <w:pPr>
        <w:spacing w:after="20"/>
        <w:ind w:left="567"/>
      </w:pPr>
      <w:r>
        <w:rPr>
          <w:color w:val="374151"/>
          <w:sz w:val="19"/>
        </w:rPr>
        <w:t xml:space="preserve">Bouton : </w:t>
      </w:r>
      <w:r>
        <w:rPr>
          <w:rFonts w:ascii="Consolas" w:hAnsi="Consolas"/>
          <w:b/>
          <w:color w:val="1F3864"/>
          <w:sz w:val="19"/>
        </w:rPr>
        <w:t>Arrêter</w:t>
      </w:r>
    </w:p>
    <w:p>
      <w:pPr>
        <w:pStyle w:val="ListBullet"/>
        <w:spacing w:after="40"/>
        <w:ind w:left="567"/>
      </w:pPr>
      <w:r>
        <w:rPr>
          <w:b/>
          <w:color w:val="1F3864"/>
        </w:rPr>
        <w:t xml:space="preserve">En fin de projet : </w:t>
      </w:r>
      <w:r>
        <w:rPr>
          <w:color w:val="374151"/>
        </w:rPr>
        <w:t xml:space="preserve">depuis le groupe de ressources </w:t>
      </w:r>
    </w:p>
    <w:p>
      <w:pPr>
        <w:spacing w:after="20"/>
        <w:ind w:left="567"/>
      </w:pPr>
      <w:r>
        <w:rPr>
          <w:color w:val="374151"/>
          <w:sz w:val="19"/>
        </w:rPr>
        <w:t xml:space="preserve">rg-lab-security : </w:t>
      </w:r>
      <w:r>
        <w:rPr>
          <w:rFonts w:ascii="Consolas" w:hAnsi="Consolas"/>
          <w:b/>
          <w:color w:val="1F3864"/>
          <w:sz w:val="19"/>
        </w:rPr>
        <w:t>Supprimer le groupe de ressources</w:t>
      </w:r>
    </w:p>
    <w:p>
      <w:pPr>
        <w:spacing w:after="120"/>
      </w:pPr>
      <w:r>
        <w:rPr>
          <w:color w:val="374151"/>
          <w:sz w:val="21"/>
        </w:rPr>
        <w:t>supprime toutes les ressources associées (VM, disque, IP publique, réseau) en une seule action, et arrête définitivement toute consommation de crédit.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