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sz w:val="28"/>
          <w:szCs w:val="28"/>
        </w:rPr>
      </w:pPr>
      <w:r w:rsidDel="00000000" w:rsidR="00000000" w:rsidRPr="00000000">
        <w:rPr>
          <w:color w:val="00b0f0"/>
          <w:sz w:val="28"/>
          <w:szCs w:val="28"/>
          <w:rtl w:val="0"/>
        </w:rPr>
        <w:t xml:space="preserve">Simplified Device Management</w:t>
      </w:r>
      <w:r w:rsidDel="00000000" w:rsidR="00000000" w:rsidRPr="00000000">
        <w:rPr>
          <w:rtl w:val="0"/>
        </w:rPr>
      </w:r>
    </w:p>
    <w:p w:rsidR="00000000" w:rsidDel="00000000" w:rsidP="00000000" w:rsidRDefault="00000000" w:rsidRPr="00000000" w14:paraId="00000002">
      <w:pPr>
        <w:widowControl w:val="0"/>
        <w:spacing w:line="240" w:lineRule="auto"/>
        <w:rPr>
          <w:sz w:val="28"/>
          <w:szCs w:val="28"/>
        </w:rPr>
      </w:pPr>
      <w:r w:rsidDel="00000000" w:rsidR="00000000" w:rsidRPr="00000000">
        <w:rPr>
          <w:rFonts w:ascii="Calibri" w:cs="Calibri" w:eastAsia="Calibri" w:hAnsi="Calibri"/>
          <w:sz w:val="28"/>
          <w:szCs w:val="28"/>
          <w:rtl w:val="0"/>
        </w:rPr>
        <w:t xml:space="preserve">As companies deploy IoT/IIoT field devices and mobile devices as part of their digital transformation, </w:t>
      </w:r>
      <w:r w:rsidDel="00000000" w:rsidR="00000000" w:rsidRPr="00000000">
        <w:rPr>
          <w:rFonts w:ascii="Calibri" w:cs="Calibri" w:eastAsia="Calibri" w:hAnsi="Calibri"/>
          <w:b w:val="1"/>
          <w:sz w:val="28"/>
          <w:szCs w:val="28"/>
          <w:rtl w:val="0"/>
        </w:rPr>
        <w:t xml:space="preserve">XSI</w:t>
      </w:r>
      <w:r w:rsidDel="00000000" w:rsidR="00000000" w:rsidRPr="00000000">
        <w:rPr>
          <w:rFonts w:ascii="Calibri" w:cs="Calibri" w:eastAsia="Calibri" w:hAnsi="Calibri"/>
          <w:sz w:val="28"/>
          <w:szCs w:val="28"/>
          <w:rtl w:val="0"/>
        </w:rPr>
        <w:t xml:space="preserve"> simplifies the  provisioning, configuration, management, and monitoring of these devices by incorporating these functions into a single unified platform.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spacing w:line="240" w:lineRule="auto"/>
        <w:rPr>
          <w:sz w:val="28"/>
          <w:szCs w:val="28"/>
        </w:rPr>
      </w:pPr>
      <w:r w:rsidDel="00000000" w:rsidR="00000000" w:rsidRPr="00000000">
        <w:rPr>
          <w:color w:val="00b0f0"/>
          <w:sz w:val="28"/>
          <w:szCs w:val="28"/>
          <w:rtl w:val="0"/>
        </w:rPr>
        <w:t xml:space="preserve">Communicate to Any Device</w:t>
      </w:r>
      <w:r w:rsidDel="00000000" w:rsidR="00000000" w:rsidRPr="00000000">
        <w:rPr>
          <w:rtl w:val="0"/>
        </w:rPr>
      </w:r>
    </w:p>
    <w:p w:rsidR="00000000" w:rsidDel="00000000" w:rsidP="00000000" w:rsidRDefault="00000000" w:rsidRPr="00000000" w14:paraId="00000005">
      <w:pPr>
        <w:widowControl w:val="0"/>
        <w:spacing w:after="160" w:line="256.8"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Information drives intelligent decisions, and the Cross System Integrator enables IT applications to communicate DIRECTLY to the OT devices.  Applications are no longer restricted to communicating with other applications for data from the field devices, which could contain outdated information.  Enabling applications to communicate directly with the field devices ensures the right information is delivered to the right application at the right time. </w:t>
      </w:r>
    </w:p>
    <w:p w:rsidR="00000000" w:rsidDel="00000000" w:rsidP="00000000" w:rsidRDefault="00000000" w:rsidRPr="00000000" w14:paraId="00000006">
      <w:pPr>
        <w:widowControl w:val="0"/>
        <w:spacing w:after="160" w:line="256.8"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widowControl w:val="0"/>
        <w:spacing w:line="240" w:lineRule="auto"/>
        <w:rPr>
          <w:color w:val="00b0f0"/>
          <w:sz w:val="28"/>
          <w:szCs w:val="28"/>
        </w:rPr>
      </w:pPr>
      <w:r w:rsidDel="00000000" w:rsidR="00000000" w:rsidRPr="00000000">
        <w:rPr>
          <w:color w:val="00b0f0"/>
          <w:sz w:val="28"/>
          <w:szCs w:val="28"/>
          <w:rtl w:val="0"/>
        </w:rPr>
        <w:t xml:space="preserve">Device Discovery and Identification</w:t>
      </w:r>
    </w:p>
    <w:p w:rsidR="00000000" w:rsidDel="00000000" w:rsidP="00000000" w:rsidRDefault="00000000" w:rsidRPr="00000000" w14:paraId="00000008">
      <w:pPr>
        <w:widowControl w:val="0"/>
        <w:spacing w:line="240" w:lineRule="auto"/>
        <w:rPr>
          <w:sz w:val="28"/>
          <w:szCs w:val="28"/>
        </w:rPr>
      </w:pPr>
      <w:r w:rsidDel="00000000" w:rsidR="00000000" w:rsidRPr="00000000">
        <w:rPr>
          <w:rFonts w:ascii="Calibri" w:cs="Calibri" w:eastAsia="Calibri" w:hAnsi="Calibri"/>
          <w:b w:val="1"/>
          <w:sz w:val="28"/>
          <w:szCs w:val="28"/>
          <w:rtl w:val="0"/>
        </w:rPr>
        <w:t xml:space="preserve">XSI</w:t>
      </w:r>
      <w:r w:rsidDel="00000000" w:rsidR="00000000" w:rsidRPr="00000000">
        <w:rPr>
          <w:rFonts w:ascii="Calibri" w:cs="Calibri" w:eastAsia="Calibri" w:hAnsi="Calibri"/>
          <w:sz w:val="28"/>
          <w:szCs w:val="28"/>
          <w:rtl w:val="0"/>
        </w:rPr>
        <w:t xml:space="preserve"> simplifies the management of OT devices and makes it easy to discover and add devices to their respective applications using industry standard product identification schemes and discovery protocols.   </w:t>
      </w:r>
      <w:r w:rsidDel="00000000" w:rsidR="00000000" w:rsidRPr="00000000">
        <w:rPr>
          <w:rtl w:val="0"/>
        </w:rPr>
      </w:r>
    </w:p>
    <w:p w:rsidR="00000000" w:rsidDel="00000000" w:rsidP="00000000" w:rsidRDefault="00000000" w:rsidRPr="00000000" w14:paraId="00000009">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Identification schemes supported include Barcode, Electronic Product Code (EPC), Uniform Resource Identifier (URI), IPv6, and ucode.  Discovery protocols supported include UPnP, mDNS, Physical Web, DNS-SD, and SSDP.</w:t>
      </w:r>
    </w:p>
    <w:p w:rsidR="00000000" w:rsidDel="00000000" w:rsidP="00000000" w:rsidRDefault="00000000" w:rsidRPr="00000000" w14:paraId="0000000B">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widowControl w:val="0"/>
        <w:spacing w:line="240" w:lineRule="auto"/>
        <w:rPr>
          <w:color w:val="00b0f0"/>
          <w:sz w:val="28"/>
          <w:szCs w:val="28"/>
        </w:rPr>
      </w:pPr>
      <w:r w:rsidDel="00000000" w:rsidR="00000000" w:rsidRPr="00000000">
        <w:rPr>
          <w:color w:val="00b0f0"/>
          <w:sz w:val="28"/>
          <w:szCs w:val="28"/>
          <w:rtl w:val="0"/>
        </w:rPr>
        <w:t xml:space="preserve">Device Communication &amp; Protocols</w:t>
      </w:r>
    </w:p>
    <w:p w:rsidR="00000000" w:rsidDel="00000000" w:rsidP="00000000" w:rsidRDefault="00000000" w:rsidRPr="00000000" w14:paraId="0000000D">
      <w:pPr>
        <w:widowControl w:val="0"/>
        <w:spacing w:line="240" w:lineRule="auto"/>
        <w:rPr>
          <w:sz w:val="28"/>
          <w:szCs w:val="28"/>
        </w:rPr>
      </w:pPr>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b w:val="1"/>
          <w:sz w:val="28"/>
          <w:szCs w:val="28"/>
          <w:rtl w:val="0"/>
        </w:rPr>
        <w:t xml:space="preserve">Cross System Integrator </w:t>
      </w:r>
      <w:r w:rsidDel="00000000" w:rsidR="00000000" w:rsidRPr="00000000">
        <w:rPr>
          <w:rFonts w:ascii="Calibri" w:cs="Calibri" w:eastAsia="Calibri" w:hAnsi="Calibri"/>
          <w:sz w:val="28"/>
          <w:szCs w:val="28"/>
          <w:rtl w:val="0"/>
        </w:rPr>
        <w:t xml:space="preserve">can communicate directly to the IoT, IIoT, and mobile devices in the field to obtain their performance statistics, health, configuration, and other information using device’s native communication protocols.   Communication with the devices using their native protocols is independent of the communications network or device deployment architecture used.  </w:t>
      </w:r>
      <w:r w:rsidDel="00000000" w:rsidR="00000000" w:rsidRPr="00000000">
        <w:rPr>
          <w:rtl w:val="0"/>
        </w:rPr>
      </w:r>
    </w:p>
    <w:p w:rsidR="00000000" w:rsidDel="00000000" w:rsidP="00000000" w:rsidRDefault="00000000" w:rsidRPr="00000000" w14:paraId="0000000E">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widowControl w:val="0"/>
        <w:spacing w:line="240" w:lineRule="auto"/>
        <w:rPr>
          <w:sz w:val="28"/>
          <w:szCs w:val="28"/>
        </w:rPr>
      </w:pPr>
      <w:r w:rsidDel="00000000" w:rsidR="00000000" w:rsidRPr="00000000">
        <w:rPr>
          <w:rFonts w:ascii="Calibri" w:cs="Calibri" w:eastAsia="Calibri" w:hAnsi="Calibri"/>
          <w:b w:val="1"/>
          <w:sz w:val="28"/>
          <w:szCs w:val="28"/>
          <w:rtl w:val="0"/>
        </w:rPr>
        <w:t xml:space="preserve">IIoT protocols</w:t>
      </w:r>
      <w:r w:rsidDel="00000000" w:rsidR="00000000" w:rsidRPr="00000000">
        <w:rPr>
          <w:rFonts w:ascii="Calibri" w:cs="Calibri" w:eastAsia="Calibri" w:hAnsi="Calibri"/>
          <w:sz w:val="28"/>
          <w:szCs w:val="28"/>
          <w:rtl w:val="0"/>
        </w:rPr>
        <w:t xml:space="preserve">:  DNP3, Modbus, BACNET, TALQ, LonWorks </w:t>
      </w:r>
      <w:r w:rsidDel="00000000" w:rsidR="00000000" w:rsidRPr="00000000">
        <w:rPr>
          <w:rtl w:val="0"/>
        </w:rPr>
      </w:r>
    </w:p>
    <w:p w:rsidR="00000000" w:rsidDel="00000000" w:rsidP="00000000" w:rsidRDefault="00000000" w:rsidRPr="00000000" w14:paraId="00000010">
      <w:pPr>
        <w:widowControl w:val="0"/>
        <w:spacing w:line="240" w:lineRule="auto"/>
        <w:rPr>
          <w:sz w:val="28"/>
          <w:szCs w:val="28"/>
        </w:rPr>
      </w:pPr>
      <w:r w:rsidDel="00000000" w:rsidR="00000000" w:rsidRPr="00000000">
        <w:rPr>
          <w:rFonts w:ascii="Calibri" w:cs="Calibri" w:eastAsia="Calibri" w:hAnsi="Calibri"/>
          <w:b w:val="1"/>
          <w:sz w:val="28"/>
          <w:szCs w:val="28"/>
          <w:rtl w:val="0"/>
        </w:rPr>
        <w:t xml:space="preserve">IoT protocols:  </w:t>
      </w:r>
      <w:r w:rsidDel="00000000" w:rsidR="00000000" w:rsidRPr="00000000">
        <w:rPr>
          <w:rFonts w:ascii="Calibri" w:cs="Calibri" w:eastAsia="Calibri" w:hAnsi="Calibri"/>
          <w:sz w:val="28"/>
          <w:szCs w:val="28"/>
          <w:rtl w:val="0"/>
        </w:rPr>
        <w:t xml:space="preserve">IMQTT, MQTT-SN, AMQP, XMPP, STOMP, CoAP, DDS </w:t>
      </w:r>
      <w:r w:rsidDel="00000000" w:rsidR="00000000" w:rsidRPr="00000000">
        <w:rPr>
          <w:rtl w:val="0"/>
        </w:rPr>
      </w:r>
    </w:p>
    <w:p w:rsidR="00000000" w:rsidDel="00000000" w:rsidP="00000000" w:rsidRDefault="00000000" w:rsidRPr="00000000" w14:paraId="0000001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Communications</w:t>
      </w:r>
      <w:r w:rsidDel="00000000" w:rsidR="00000000" w:rsidRPr="00000000">
        <w:rPr>
          <w:rFonts w:ascii="Calibri" w:cs="Calibri" w:eastAsia="Calibri" w:hAnsi="Calibri"/>
          <w:sz w:val="28"/>
          <w:szCs w:val="28"/>
          <w:rtl w:val="0"/>
        </w:rPr>
        <w:t xml:space="preserve">:  Wired, WiFi, Cellular, Bluetooth, Zigbee, Zwave, LoRaWAN, NFC.</w:t>
      </w:r>
    </w:p>
    <w:p w:rsidR="00000000" w:rsidDel="00000000" w:rsidP="00000000" w:rsidRDefault="00000000" w:rsidRPr="00000000" w14:paraId="00000012">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widowControl w:val="0"/>
        <w:spacing w:line="240" w:lineRule="auto"/>
        <w:rPr>
          <w:color w:val="00b0f0"/>
          <w:sz w:val="28"/>
          <w:szCs w:val="28"/>
        </w:rPr>
      </w:pPr>
      <w:r w:rsidDel="00000000" w:rsidR="00000000" w:rsidRPr="00000000">
        <w:rPr>
          <w:color w:val="00b0f0"/>
          <w:sz w:val="28"/>
          <w:szCs w:val="28"/>
          <w:rtl w:val="0"/>
        </w:rPr>
        <w:t xml:space="preserve">Log and Event Management</w:t>
      </w:r>
    </w:p>
    <w:p w:rsidR="00000000" w:rsidDel="00000000" w:rsidP="00000000" w:rsidRDefault="00000000" w:rsidRPr="00000000" w14:paraId="0000001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XSI</w:t>
      </w:r>
      <w:r w:rsidDel="00000000" w:rsidR="00000000" w:rsidRPr="00000000">
        <w:rPr>
          <w:rFonts w:ascii="Calibri" w:cs="Calibri" w:eastAsia="Calibri" w:hAnsi="Calibri"/>
          <w:sz w:val="28"/>
          <w:szCs w:val="28"/>
          <w:rtl w:val="0"/>
        </w:rPr>
        <w:t xml:space="preserve"> eliminates the complexity users face when having to analyze the myriad of log and event files related to incidents by collecting the files from each device and combining the data into a structured format.  An effective log and event management solution improves security by delivering forensic visibility to anomalies, which can help create preventative strategies.  </w:t>
      </w:r>
    </w:p>
    <w:p w:rsidR="00000000" w:rsidDel="00000000" w:rsidP="00000000" w:rsidRDefault="00000000" w:rsidRPr="00000000" w14:paraId="00000016">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widowControl w:val="0"/>
        <w:spacing w:line="240" w:lineRule="auto"/>
        <w:rPr>
          <w:sz w:val="28"/>
          <w:szCs w:val="28"/>
        </w:rPr>
      </w:pPr>
      <w:r w:rsidDel="00000000" w:rsidR="00000000" w:rsidRPr="00000000">
        <w:rPr>
          <w:color w:val="00b0f0"/>
          <w:sz w:val="28"/>
          <w:szCs w:val="28"/>
          <w:rtl w:val="0"/>
        </w:rPr>
        <w:t xml:space="preserve">Enhanced Security</w:t>
      </w:r>
      <w:r w:rsidDel="00000000" w:rsidR="00000000" w:rsidRPr="00000000">
        <w:rPr>
          <w:rtl w:val="0"/>
        </w:rPr>
      </w:r>
    </w:p>
    <w:p w:rsidR="00000000" w:rsidDel="00000000" w:rsidP="00000000" w:rsidRDefault="00000000" w:rsidRPr="00000000" w14:paraId="0000001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Ensuring device identities are trusted before enabling connectivity is imperative.  The </w:t>
      </w:r>
      <w:r w:rsidDel="00000000" w:rsidR="00000000" w:rsidRPr="00000000">
        <w:rPr>
          <w:rFonts w:ascii="Calibri" w:cs="Calibri" w:eastAsia="Calibri" w:hAnsi="Calibri"/>
          <w:b w:val="1"/>
          <w:sz w:val="28"/>
          <w:szCs w:val="28"/>
          <w:rtl w:val="0"/>
        </w:rPr>
        <w:t xml:space="preserve">Cross System Integrator </w:t>
      </w:r>
      <w:r w:rsidDel="00000000" w:rsidR="00000000" w:rsidRPr="00000000">
        <w:rPr>
          <w:rFonts w:ascii="Calibri" w:cs="Calibri" w:eastAsia="Calibri" w:hAnsi="Calibri"/>
          <w:sz w:val="28"/>
          <w:szCs w:val="28"/>
          <w:rtl w:val="0"/>
        </w:rPr>
        <w:t xml:space="preserve">eliminates the complexity of having multiple systems to manage each type of device by brining the security, authentication, and authorization of the edge devices to a single centralized platform.    </w:t>
      </w:r>
    </w:p>
    <w:p w:rsidR="00000000" w:rsidDel="00000000" w:rsidP="00000000" w:rsidRDefault="00000000" w:rsidRPr="00000000" w14:paraId="00000019">
      <w:pPr>
        <w:widowControl w:val="0"/>
        <w:spacing w:line="240" w:lineRule="auto"/>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