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80"/>
        <w:jc w:val="center"/>
      </w:pPr>
      <w:r>
        <w:rPr>
          <w:rFonts w:ascii="Arial" w:cs="Arial" w:eastAsia="Arial" w:hAnsi="Arial"/>
          <w:b/>
          <w:bCs/>
          <w:color w:val="1F4788"/>
          <w:sz w:val="40"/>
          <w:szCs w:val="40"/>
        </w:rPr>
        <w:t xml:space="preserve">Tunisian E-Invoicing System</w:t>
      </w:r>
    </w:p>
    <w:p>
      <w:pPr>
        <w:spacing w:after="360"/>
        <w:jc w:val="center"/>
      </w:pPr>
      <w:r>
        <w:rPr>
          <w:rFonts w:ascii="Arial" w:cs="Arial" w:eastAsia="Arial" w:hAnsi="Arial"/>
          <w:color w:val="5B9BD5"/>
          <w:sz w:val="28"/>
          <w:szCs w:val="28"/>
        </w:rPr>
        <w:t xml:space="preserve">El Fatoora - Technical Analysis &amp; Implementation Guide</w:t>
      </w:r>
    </w:p>
    <w:p>
      <w:pPr>
        <w:spacing w:after="720"/>
        <w:jc w:val="center"/>
      </w:pPr>
      <w:r>
        <w:rPr>
          <w:i/>
          <w:iCs/>
          <w:color w:val="666666"/>
          <w:sz w:val="24"/>
          <w:szCs w:val="24"/>
        </w:rPr>
        <w:t xml:space="preserve">Version 1.8.8</w:t>
      </w:r>
    </w:p>
    <w:p>
      <w:pPr>
        <w:pStyle w:val="Heading1"/>
      </w:pPr>
      <w:r>
        <w:t xml:space="preserve">Executive Summary</w:t>
      </w:r>
    </w:p>
    <w:p>
      <w:pPr>
        <w:spacing w:after="180"/>
      </w:pPr>
      <w:r>
        <w:t xml:space="preserve">The Tunisian e-invoicing system (El Fatoora) is a comprehensive XML-based electronic invoicing framework mandated by the Tunisian government and operated by Tunisie TradeNet (TTN). It requires all invoices to be digitally signed using XAdES (XML Advanced Electronic Signatures) with qualified certificates issued by the National Digital Certification Agency.</w:t>
      </w:r>
    </w:p>
    <w:p>
      <w:pPr>
        <w:spacing w:after="360"/>
      </w:pPr>
      <w:r>
        <w:t xml:space="preserve">This document provides a detailed technical analysis of the invoice structure, validation rules, and implementation requirements based on the official INVOIC schema version 1.8.8.</w:t>
      </w:r>
    </w:p>
    <w:p>
      <w:pPr>
        <w:pStyle w:val="Heading1"/>
      </w:pPr>
      <w:r>
        <w:t xml:space="preserve">System Overview</w:t>
      </w:r>
    </w:p>
    <w:p>
      <w:pPr>
        <w:pStyle w:val="Heading2"/>
      </w:pPr>
      <w:r>
        <w:t xml:space="preserve">Key Components</w:t>
      </w:r>
    </w:p>
    <w:p>
      <w:pPr>
        <w:pStyle w:val="ListParagraph"/>
        <w:numPr>
          <w:ilvl w:val="0"/>
          <w:numId w:val="2"/>
        </w:numPr>
      </w:pPr>
      <w:r>
        <w:t xml:space="preserve">XML-based invoice format compliant with EDIFACT standards</w:t>
      </w:r>
    </w:p>
    <w:p>
      <w:pPr>
        <w:pStyle w:val="ListParagraph"/>
        <w:numPr>
          <w:ilvl w:val="0"/>
          <w:numId w:val="2"/>
        </w:numPr>
      </w:pPr>
      <w:r>
        <w:t xml:space="preserve">Dual digital signatures: Supplier signature + TTN validation signature</w:t>
      </w:r>
    </w:p>
    <w:p>
      <w:pPr>
        <w:pStyle w:val="ListParagraph"/>
        <w:numPr>
          <w:ilvl w:val="0"/>
          <w:numId w:val="2"/>
        </w:numPr>
      </w:pPr>
      <w:r>
        <w:t xml:space="preserve">QR code (CEV) for mobile verification</w:t>
      </w:r>
    </w:p>
    <w:p>
      <w:pPr>
        <w:pStyle w:val="ListParagraph"/>
        <w:numPr>
          <w:ilvl w:val="0"/>
          <w:numId w:val="2"/>
        </w:numPr>
      </w:pPr>
      <w:r>
        <w:t xml:space="preserve">Unique TTN reference number for tracking</w:t>
      </w:r>
    </w:p>
    <w:p>
      <w:pPr>
        <w:pStyle w:val="ListParagraph"/>
        <w:numPr>
          <w:ilvl w:val="0"/>
          <w:numId w:val="2"/>
        </w:numPr>
        <w:spacing w:after="360"/>
      </w:pPr>
      <w:r>
        <w:t xml:space="preserve">Support for multiple document types (invoices, credit notes, debit notes)</w:t>
      </w:r>
    </w:p>
    <w:p>
      <w:pPr>
        <w:pStyle w:val="Heading2"/>
      </w:pPr>
      <w:r>
        <w:t xml:space="preserve">Document Lifecycle</w:t>
      </w:r>
    </w:p>
    <w:p>
      <w:pPr>
        <w:pStyle w:val="ListParagraph"/>
        <w:numPr>
          <w:ilvl w:val="0"/>
          <w:numId w:val="2"/>
        </w:numPr>
      </w:pPr>
      <w:r>
        <w:t xml:space="preserve">Supplier creates invoice XML</w:t>
      </w:r>
    </w:p>
    <w:p>
      <w:pPr>
        <w:pStyle w:val="ListParagraph"/>
        <w:numPr>
          <w:ilvl w:val="0"/>
          <w:numId w:val="2"/>
        </w:numPr>
      </w:pPr>
      <w:r>
        <w:t xml:space="preserve">Supplier signs with XAdES qualified certificate</w:t>
      </w:r>
    </w:p>
    <w:p>
      <w:pPr>
        <w:pStyle w:val="ListParagraph"/>
        <w:numPr>
          <w:ilvl w:val="0"/>
          <w:numId w:val="2"/>
        </w:numPr>
      </w:pPr>
      <w:r>
        <w:t xml:space="preserve">Submit to TTN platform for validation</w:t>
      </w:r>
    </w:p>
    <w:p>
      <w:pPr>
        <w:pStyle w:val="ListParagraph"/>
        <w:numPr>
          <w:ilvl w:val="0"/>
          <w:numId w:val="2"/>
        </w:numPr>
      </w:pPr>
      <w:r>
        <w:t xml:space="preserve">TTN validates and adds second signature + reference</w:t>
      </w:r>
    </w:p>
    <w:p>
      <w:pPr>
        <w:pStyle w:val="ListParagraph"/>
        <w:numPr>
          <w:ilvl w:val="0"/>
          <w:numId w:val="2"/>
        </w:numPr>
        <w:spacing w:after="360"/>
      </w:pPr>
      <w:r>
        <w:t xml:space="preserve">Supplier receives validated invoice with QR code</w:t>
      </w:r>
    </w:p>
    <w:p>
      <w:pPr>
        <w:pStyle w:val="Heading1"/>
      </w:pPr>
      <w:r>
        <w:t xml:space="preserve">Document Structure</w:t>
      </w:r>
    </w:p>
    <w:p>
      <w:pPr>
        <w:spacing w:after="240"/>
      </w:pPr>
      <w:r>
        <w:t xml:space="preserve">The invoice XML follows a hierarchical structure with the following main sections:</w:t>
      </w:r>
    </w:p>
    <w:p>
      <w:pPr>
        <w:pStyle w:val="Heading2"/>
      </w:pPr>
      <w:r>
        <w:t xml:space="preserve">Root Element: TEIF</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Attribute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Required</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Schema version (1.8.1 to 1.8.8)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controlingAgency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Fixed values: 'TTN' or 'Tunisie TradeNet'</w:t>
            </w:r>
          </w:p>
        </w:tc>
      </w:tr>
    </w:tbl>
    <w:p>
      <w:pPr>
        <w:pStyle w:val="Heading2"/>
      </w:pPr>
      <w:r>
        <w:t xml:space="preserve">InvoiceHeader</w:t>
      </w:r>
    </w:p>
    <w:p>
      <w:pPr>
        <w:spacing w:after="180"/>
      </w:pPr>
      <w:r>
        <w:t xml:space="preserve">Contains routing information for sender and receiver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Element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Type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MessageSenderIdentifier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 (35)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Supplier's tax identifier (format: NNNNNNNXAMZZZ)</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MessageRecieverIdentifier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 (35)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Customer's tax identifier</w:t>
            </w:r>
          </w:p>
        </w:tc>
      </w:tr>
    </w:tbl>
    <w:p>
      <w:pPr>
        <w:pStyle w:val="Heading1"/>
      </w:pPr>
      <w:r>
        <w:t xml:space="preserve">InvoiceBody Structure</w:t>
      </w:r>
    </w:p>
    <w:p>
      <w:pPr>
        <w:pStyle w:val="Heading2"/>
      </w:pPr>
      <w:r>
        <w:t xml:space="preserve">BGM (Beginning of Message)</w:t>
      </w:r>
    </w:p>
    <w:p>
      <w:pPr>
        <w:spacing w:after="180"/>
      </w:pPr>
      <w:r>
        <w:t xml:space="preserve">Defines the document type and unique identifier.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Element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Required</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DocumentIdentifier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Unique invoice number (max 70 chars)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DocumentType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I-11: Invoice, I-12: Credit note, I-13: Debit note, I-14: Simplified invoice, I-15: Self-billed invoice, I-16: Corrective invoice</w:t>
            </w:r>
          </w:p>
        </w:tc>
      </w:tr>
    </w:tbl>
    <w:p>
      <w:pPr>
        <w:pStyle w:val="Heading2"/>
      </w:pPr>
      <w:r>
        <w:t xml:space="preserve">DTM (Date/Time)</w:t>
      </w:r>
    </w:p>
    <w:p>
      <w:pPr>
        <w:spacing w:after="180"/>
      </w:pPr>
      <w:r>
        <w:t xml:space="preserve">Contains critical dates for the invoice.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Function Code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Format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I-31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ddMMyy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Invoice 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I-36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ddMMyy-ddMMyy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Service period (from-to)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ddMMyy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Due date for payment</w:t>
            </w:r>
          </w:p>
        </w:tc>
      </w:tr>
    </w:tbl>
    <w:p>
      <w:pPr>
        <w:pStyle w:val="Heading2"/>
      </w:pPr>
      <w:r>
        <w:t xml:space="preserve">PartnerSection</w:t>
      </w:r>
    </w:p>
    <w:p>
      <w:pPr>
        <w:spacing w:after="180"/>
      </w:pPr>
      <w:r>
        <w:t xml:space="preserve">Detailed information about parties involved in the transaction.</w:t>
      </w:r>
    </w:p>
    <w:p>
      <w:pPr>
        <w:pStyle w:val="Heading3"/>
      </w:pPr>
      <w:r>
        <w:t xml:space="preserve">Supplier (functionCode: I-62)</w:t>
      </w:r>
    </w:p>
    <w:p>
      <w:pPr>
        <w:pStyle w:val="ListParagraph"/>
        <w:numPr>
          <w:ilvl w:val="0"/>
          <w:numId w:val="2"/>
        </w:numPr>
      </w:pPr>
      <w:r>
        <w:t xml:space="preserve">Tax identifier (type I-01)</w:t>
      </w:r>
    </w:p>
    <w:p>
      <w:pPr>
        <w:pStyle w:val="ListParagraph"/>
        <w:numPr>
          <w:ilvl w:val="0"/>
          <w:numId w:val="2"/>
        </w:numPr>
      </w:pPr>
      <w:r>
        <w:t xml:space="preserve">Company name and address</w:t>
      </w:r>
    </w:p>
    <w:p>
      <w:pPr>
        <w:pStyle w:val="ListParagraph"/>
        <w:numPr>
          <w:ilvl w:val="0"/>
          <w:numId w:val="2"/>
        </w:numPr>
      </w:pPr>
      <w:r>
        <w:t xml:space="preserve">RFF-I-815: RNE/RNI number (company registration)</w:t>
      </w:r>
    </w:p>
    <w:p>
      <w:pPr>
        <w:pStyle w:val="ListParagraph"/>
        <w:numPr>
          <w:ilvl w:val="0"/>
          <w:numId w:val="2"/>
        </w:numPr>
      </w:pPr>
      <w:r>
        <w:t xml:space="preserve">RFF-I-816: Legal form (SA, SARL, etc.)</w:t>
      </w:r>
    </w:p>
    <w:p>
      <w:pPr>
        <w:pStyle w:val="ListParagraph"/>
        <w:numPr>
          <w:ilvl w:val="0"/>
          <w:numId w:val="2"/>
        </w:numPr>
        <w:spacing w:after="240"/>
      </w:pPr>
      <w:r>
        <w:t xml:space="preserve">Contact information (phone, fax, website)</w:t>
      </w:r>
    </w:p>
    <w:p>
      <w:pPr>
        <w:pStyle w:val="Heading3"/>
      </w:pPr>
      <w:r>
        <w:t xml:space="preserve">Customer (functionCode: I-64)</w:t>
      </w:r>
    </w:p>
    <w:p>
      <w:pPr>
        <w:pStyle w:val="ListParagraph"/>
        <w:numPr>
          <w:ilvl w:val="0"/>
          <w:numId w:val="2"/>
        </w:numPr>
      </w:pPr>
      <w:r>
        <w:t xml:space="preserve">Tax identifier or registration number</w:t>
      </w:r>
    </w:p>
    <w:p>
      <w:pPr>
        <w:pStyle w:val="ListParagraph"/>
        <w:numPr>
          <w:ilvl w:val="0"/>
          <w:numId w:val="2"/>
        </w:numPr>
      </w:pPr>
      <w:r>
        <w:t xml:space="preserve">RFF-I-81: Registration number</w:t>
      </w:r>
    </w:p>
    <w:p>
      <w:pPr>
        <w:pStyle w:val="ListParagraph"/>
        <w:numPr>
          <w:ilvl w:val="0"/>
          <w:numId w:val="2"/>
        </w:numPr>
      </w:pPr>
      <w:r>
        <w:t xml:space="preserve">RFF-I-811: Customer type (Professional/Physical)</w:t>
      </w:r>
    </w:p>
    <w:p>
      <w:pPr>
        <w:pStyle w:val="ListParagraph"/>
        <w:numPr>
          <w:ilvl w:val="0"/>
          <w:numId w:val="2"/>
        </w:numPr>
      </w:pPr>
      <w:r>
        <w:t xml:space="preserve">RFF-I-813: Establishment name</w:t>
      </w:r>
    </w:p>
    <w:p>
      <w:pPr>
        <w:pStyle w:val="ListParagraph"/>
        <w:numPr>
          <w:ilvl w:val="0"/>
          <w:numId w:val="2"/>
        </w:numPr>
      </w:pPr>
      <w:r>
        <w:t xml:space="preserve">RFF-I-812: Tax regime indicator</w:t>
      </w:r>
    </w:p>
    <w:p>
      <w:pPr>
        <w:pStyle w:val="ListParagraph"/>
        <w:numPr>
          <w:ilvl w:val="0"/>
          <w:numId w:val="2"/>
        </w:numPr>
        <w:spacing w:after="360"/>
      </w:pPr>
      <w:r>
        <w:t xml:space="preserve">RFF-I-814: VAT number if applicable</w:t>
      </w:r>
    </w:p>
    <w:p>
      <w:pPr>
        <w:pStyle w:val="Heading2"/>
      </w:pPr>
      <w:r>
        <w:t xml:space="preserve">PytSection (Payment Terms)</w:t>
      </w:r>
    </w:p>
    <w:p>
      <w:pPr>
        <w:spacing w:after="180"/>
      </w:pPr>
      <w:r>
        <w:t xml:space="preserve">Specifies payment methods and bank account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Code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Bank transfer with RIB details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Postal payment with CCP account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Cash payment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Check payment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Credit card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Other payment methods</w:t>
            </w:r>
          </w:p>
        </w:tc>
      </w:tr>
    </w:tbl>
    <w:p>
      <w:pPr>
        <w:spacing w:before="240" w:after="180"/>
      </w:pPr>
      <w:r>
        <w:rPr>
          <w:b/>
          <w:bCs/>
        </w:rPr>
        <w:t xml:space="preserve">Note: </w:t>
      </w:r>
      <w:r>
        <w:t xml:space="preserve">For bank transfers (I-114) and postal payments (I-115), detailed account information must be provided in the PytFii element.</w:t>
      </w:r>
    </w:p>
    <w:p>
      <w:pPr>
        <w:pStyle w:val="Heading1"/>
      </w:pPr>
      <w:r>
        <w:t xml:space="preserve">Line Items (LinSection)</w:t>
      </w:r>
    </w:p>
    <w:p>
      <w:pPr>
        <w:spacing w:after="180"/>
      </w:pPr>
      <w:r>
        <w:t xml:space="preserve">Each invoice line contains detailed product/service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Element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Required</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ItemIdentifier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Line number (sequential)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ItemCode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Product/service code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ItemDescription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Description in French or Arabic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 of measure (KGM, LTR, PCE, etc.)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Quantity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Quantity with decimal precision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UnitPrice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 price excluding tax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TaxPercent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VAT rate (0%, 7%, 13%, 19%)</w:t>
            </w:r>
          </w:p>
        </w:tc>
      </w:tr>
    </w:tbl>
    <w:p>
      <w:pPr>
        <w:pStyle w:val="Heading2"/>
      </w:pPr>
      <w:r>
        <w:t xml:space="preserve">Line-Level Calculations</w:t>
      </w:r>
    </w:p>
    <w:p>
      <w:pPr>
        <w:pStyle w:val="ListParagraph"/>
        <w:numPr>
          <w:ilvl w:val="0"/>
          <w:numId w:val="2"/>
        </w:numPr>
      </w:pPr>
      <w:r>
        <w:t xml:space="preserve">LinMoa-I-203: Line amount excluding tax</w:t>
      </w:r>
    </w:p>
    <w:p>
      <w:pPr>
        <w:pStyle w:val="ListParagraph"/>
        <w:numPr>
          <w:ilvl w:val="0"/>
          <w:numId w:val="2"/>
        </w:numPr>
      </w:pPr>
      <w:r>
        <w:t xml:space="preserve">LinMoa-I-202: Line amount including tax</w:t>
      </w:r>
    </w:p>
    <w:p>
      <w:pPr>
        <w:pStyle w:val="ListParagraph"/>
        <w:numPr>
          <w:ilvl w:val="0"/>
          <w:numId w:val="2"/>
        </w:numPr>
        <w:spacing w:after="360"/>
      </w:pPr>
      <w:r>
        <w:t xml:space="preserve">Tax calculation: TaxAmount = LineAmount × (TaxPercent / 100)</w:t>
      </w:r>
    </w:p>
    <w:p>
      <w:pPr>
        <w:pStyle w:val="Heading1"/>
      </w:pPr>
      <w:r>
        <w:t xml:space="preserve">Invoice Totals</w:t>
      </w:r>
    </w:p>
    <w:p>
      <w:pPr>
        <w:pStyle w:val="Heading2"/>
      </w:pPr>
      <w:r>
        <w:t xml:space="preserve">InvoiceMoa (Monetary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Code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Description</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Calculation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I-201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 amount excluding tax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Sum of all line amounts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I-211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 tax amount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Sum of all tax amounts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I-203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 amount including tax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I-201 + I-211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I-205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 with allowances/charges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I-203 + charges - allowances</w:t>
            </w:r>
          </w:p>
        </w:tc>
      </w:tr>
    </w:tbl>
    <w:p>
      <w:pPr>
        <w:pStyle w:val="Heading2"/>
      </w:pPr>
      <w:r>
        <w:t xml:space="preserve">InvoiceTax (Tax Breakdown)</w:t>
      </w:r>
    </w:p>
    <w:p>
      <w:pPr>
        <w:spacing w:after="180"/>
      </w:pPr>
      <w:r>
        <w:t xml:space="preserve">Provides detailed breakdown by tax rate category.</w:t>
      </w:r>
    </w:p>
    <w:p>
      <w:pPr>
        <w:pStyle w:val="ListParagraph"/>
        <w:numPr>
          <w:ilvl w:val="0"/>
          <w:numId w:val="2"/>
        </w:numPr>
      </w:pPr>
      <w:r>
        <w:t xml:space="preserve">TaxTypeCodeSEC: Tax category (VAT, FODEC, etc.)</w:t>
      </w:r>
    </w:p>
    <w:p>
      <w:pPr>
        <w:pStyle w:val="ListParagraph"/>
        <w:numPr>
          <w:ilvl w:val="0"/>
          <w:numId w:val="2"/>
        </w:numPr>
      </w:pPr>
      <w:r>
        <w:t xml:space="preserve">TaxCategoryCode: Tax rate percentage</w:t>
      </w:r>
    </w:p>
    <w:p>
      <w:pPr>
        <w:pStyle w:val="ListParagraph"/>
        <w:numPr>
          <w:ilvl w:val="0"/>
          <w:numId w:val="2"/>
        </w:numPr>
      </w:pPr>
      <w:r>
        <w:t xml:space="preserve">TaxMoa-I-201: Taxable amount</w:t>
      </w:r>
    </w:p>
    <w:p>
      <w:pPr>
        <w:pStyle w:val="ListParagraph"/>
        <w:numPr>
          <w:ilvl w:val="0"/>
          <w:numId w:val="2"/>
        </w:numPr>
        <w:spacing w:after="360"/>
      </w:pPr>
      <w:r>
        <w:t xml:space="preserve">TaxMoa-I-211: Tax amount</w:t>
      </w:r>
    </w:p>
    <w:p>
      <w:pPr>
        <w:pStyle w:val="Heading1"/>
      </w:pPr>
      <w:r>
        <w:t xml:space="preserve">Digital Signatures</w:t>
      </w:r>
    </w:p>
    <w:p>
      <w:pPr>
        <w:spacing w:after="180"/>
      </w:pPr>
      <w:r>
        <w:t xml:space="preserve">Every El Fatoora invoice requires two digital signatures conforming to XAdES-EPES (Explicit Policy-based Electronic Signatures) standard.</w:t>
      </w:r>
    </w:p>
    <w:p>
      <w:pPr>
        <w:pStyle w:val="Heading2"/>
      </w:pPr>
      <w:r>
        <w:t xml:space="preserve">Signature #1: Supplier Signature</w:t>
      </w:r>
    </w:p>
    <w:p>
      <w:pPr>
        <w:spacing w:after="180"/>
      </w:pPr>
      <w:r>
        <w:rPr>
          <w:b/>
          <w:bCs/>
        </w:rPr>
        <w:t xml:space="preserve">Characteristics:</w:t>
      </w:r>
    </w:p>
    <w:p>
      <w:pPr>
        <w:pStyle w:val="ListParagraph"/>
        <w:numPr>
          <w:ilvl w:val="0"/>
          <w:numId w:val="2"/>
        </w:numPr>
      </w:pPr>
      <w:r>
        <w:t xml:space="preserve">Certificate: Qualified certificate from TnTrust Qualified Gov CA</w:t>
      </w:r>
    </w:p>
    <w:p>
      <w:pPr>
        <w:pStyle w:val="ListParagraph"/>
        <w:numPr>
          <w:ilvl w:val="0"/>
          <w:numId w:val="2"/>
        </w:numPr>
      </w:pPr>
      <w:r>
        <w:t xml:space="preserve">Algorithm: RSA-SHA256</w:t>
      </w:r>
    </w:p>
    <w:p>
      <w:pPr>
        <w:pStyle w:val="ListParagraph"/>
        <w:numPr>
          <w:ilvl w:val="0"/>
          <w:numId w:val="2"/>
        </w:numPr>
      </w:pPr>
      <w:r>
        <w:t xml:space="preserve">Canonicalization: Exclusive XML C14N</w:t>
      </w:r>
    </w:p>
    <w:p>
      <w:pPr>
        <w:pStyle w:val="ListParagraph"/>
        <w:numPr>
          <w:ilvl w:val="0"/>
          <w:numId w:val="2"/>
        </w:numPr>
      </w:pPr>
      <w:r>
        <w:t xml:space="preserve">Reference ID: 'r-id-frs' (fournisseur - supplier)</w:t>
      </w:r>
    </w:p>
    <w:p>
      <w:pPr>
        <w:pStyle w:val="ListParagraph"/>
        <w:numPr>
          <w:ilvl w:val="0"/>
          <w:numId w:val="2"/>
        </w:numPr>
      </w:pPr>
      <w:r>
        <w:t xml:space="preserve">Signer Role: Company role (CEO, CFO, etc.)</w:t>
      </w:r>
    </w:p>
    <w:p>
      <w:pPr>
        <w:pStyle w:val="ListParagraph"/>
        <w:numPr>
          <w:ilvl w:val="0"/>
          <w:numId w:val="2"/>
        </w:numPr>
        <w:spacing w:after="240"/>
      </w:pPr>
      <w:r>
        <w:t xml:space="preserve">Signature Policy: urn:2.16.788.1.2.1</w:t>
      </w:r>
    </w:p>
    <w:p>
      <w:pPr>
        <w:pStyle w:val="Heading2"/>
      </w:pPr>
      <w:r>
        <w:t xml:space="preserve">Signature #2: TTN Validation Signature</w:t>
      </w:r>
    </w:p>
    <w:p>
      <w:pPr>
        <w:spacing w:after="180"/>
      </w:pPr>
      <w:r>
        <w:rPr>
          <w:b/>
          <w:bCs/>
        </w:rPr>
        <w:t xml:space="preserve">Applied after TTN validation:</w:t>
      </w:r>
    </w:p>
    <w:p>
      <w:pPr>
        <w:pStyle w:val="ListParagraph"/>
        <w:numPr>
          <w:ilvl w:val="0"/>
          <w:numId w:val="2"/>
        </w:numPr>
      </w:pPr>
      <w:r>
        <w:t xml:space="preserve">Certificate: TTN's qualified certificate</w:t>
      </w:r>
    </w:p>
    <w:p>
      <w:pPr>
        <w:pStyle w:val="ListParagraph"/>
        <w:numPr>
          <w:ilvl w:val="0"/>
          <w:numId w:val="2"/>
        </w:numPr>
      </w:pPr>
      <w:r>
        <w:t xml:space="preserve">Reference ID: 'r-id-ttn'</w:t>
      </w:r>
    </w:p>
    <w:p>
      <w:pPr>
        <w:pStyle w:val="ListParagraph"/>
        <w:numPr>
          <w:ilvl w:val="0"/>
          <w:numId w:val="2"/>
        </w:numPr>
      </w:pPr>
      <w:r>
        <w:t xml:space="preserve">Signer Role: 'KERNEL' (TTN system)</w:t>
      </w:r>
    </w:p>
    <w:p>
      <w:pPr>
        <w:pStyle w:val="ListParagraph"/>
        <w:numPr>
          <w:ilvl w:val="0"/>
          <w:numId w:val="2"/>
        </w:numPr>
        <w:spacing w:after="360"/>
      </w:pPr>
      <w:r>
        <w:t xml:space="preserve">Adds RefTtnVal section with QR code</w:t>
      </w:r>
    </w:p>
    <w:p>
      <w:pPr>
        <w:pStyle w:val="Heading1"/>
      </w:pPr>
      <w:r>
        <w:t xml:space="preserve">TTN Validation Reference</w:t>
      </w:r>
    </w:p>
    <w:p>
      <w:pPr>
        <w:spacing w:after="180"/>
      </w:pPr>
      <w:r>
        <w:t xml:space="preserve">After validation, TTN adds the </w:t>
      </w:r>
      <w:r>
        <w:rPr>
          <w:b/>
          <w:bCs/>
        </w:rPr>
        <w:t xml:space="preserve">RefTtnVal</w:t>
      </w:r>
      <w:r>
        <w:t xml:space="preserve"> section containing:</w:t>
      </w:r>
    </w:p>
    <w:p>
      <w:pPr>
        <w:pStyle w:val="ListParagraph"/>
        <w:numPr>
          <w:ilvl w:val="0"/>
          <w:numId w:val="2"/>
        </w:numPr>
      </w:pPr>
      <w:r>
        <w:rPr>
          <w:b/>
          <w:bCs/>
        </w:rPr>
        <w:t xml:space="preserve">ReferenceTTN (I-88): </w:t>
      </w:r>
      <w:r>
        <w:t xml:space="preserve">Unique 27-character tracking number</w:t>
      </w:r>
    </w:p>
    <w:p>
      <w:pPr>
        <w:pStyle w:val="ListParagraph"/>
        <w:numPr>
          <w:ilvl w:val="0"/>
          <w:numId w:val="2"/>
        </w:numPr>
      </w:pPr>
      <w:r>
        <w:rPr>
          <w:b/>
          <w:bCs/>
        </w:rPr>
        <w:t xml:space="preserve">ReferenceDate (I-37): </w:t>
      </w:r>
      <w:r>
        <w:t xml:space="preserve">Validation timestamp (ddMMyyHHmm)</w:t>
      </w:r>
    </w:p>
    <w:p>
      <w:pPr>
        <w:pStyle w:val="ListParagraph"/>
        <w:numPr>
          <w:ilvl w:val="0"/>
          <w:numId w:val="2"/>
        </w:numPr>
        <w:spacing w:after="360"/>
      </w:pPr>
      <w:r>
        <w:rPr>
          <w:b/>
          <w:bCs/>
        </w:rPr>
        <w:t xml:space="preserve">ReferenceCEV: </w:t>
      </w:r>
      <w:r>
        <w:t xml:space="preserve">Base64-encoded QR code image for mobile verification</w:t>
      </w:r>
    </w:p>
    <w:p>
      <w:pPr>
        <w:pStyle w:val="Heading1"/>
      </w:pPr>
      <w:r>
        <w:t xml:space="preserve">Tunisian Tax System</w:t>
      </w:r>
    </w:p>
    <w:p>
      <w:pPr>
        <w:pStyle w:val="Heading2"/>
      </w:pPr>
      <w:r>
        <w:t xml:space="preserve">Standard VAT Rates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Rate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Application</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Code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Standard rate for most goods and services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I-91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Reduced rate for specific products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I-92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Super-reduced rate for essential goods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I-93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Exempt or zero-rated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I-94</w:t>
            </w:r>
          </w:p>
        </w:tc>
      </w:tr>
    </w:tbl>
    <w:p>
      <w:pPr>
        <w:pStyle w:val="Heading2"/>
      </w:pPr>
      <w:r>
        <w:t xml:space="preserve">Additional Taxes</w:t>
      </w:r>
    </w:p>
    <w:p>
      <w:pPr>
        <w:pStyle w:val="ListParagraph"/>
        <w:numPr>
          <w:ilvl w:val="0"/>
          <w:numId w:val="2"/>
        </w:numPr>
      </w:pPr>
      <w:r>
        <w:rPr>
          <w:b/>
          <w:bCs/>
        </w:rPr>
        <w:t xml:space="preserve">FODEC: </w:t>
      </w:r>
      <w:r>
        <w:t xml:space="preserve">Development fund tax (1%)</w:t>
      </w:r>
    </w:p>
    <w:p>
      <w:pPr>
        <w:pStyle w:val="ListParagraph"/>
        <w:numPr>
          <w:ilvl w:val="0"/>
          <w:numId w:val="2"/>
        </w:numPr>
      </w:pPr>
      <w:r>
        <w:rPr>
          <w:b/>
          <w:bCs/>
        </w:rPr>
        <w:t xml:space="preserve">DC: </w:t>
      </w:r>
      <w:r>
        <w:t xml:space="preserve">Consumption tax (variable rates)</w:t>
      </w:r>
    </w:p>
    <w:p>
      <w:pPr>
        <w:pStyle w:val="ListParagraph"/>
        <w:numPr>
          <w:ilvl w:val="0"/>
          <w:numId w:val="2"/>
        </w:numPr>
        <w:spacing w:after="360"/>
      </w:pPr>
      <w:r>
        <w:rPr>
          <w:b/>
          <w:bCs/>
        </w:rPr>
        <w:t xml:space="preserve">Retenue à la source: </w:t>
      </w:r>
      <w:r>
        <w:t xml:space="preserve">Withholding tax (specified in AlcInvoice)</w:t>
      </w:r>
    </w:p>
    <w:p>
      <w:pPr>
        <w:pStyle w:val="Heading1"/>
      </w:pPr>
      <w:r>
        <w:t xml:space="preserve">Implementation Requirements</w:t>
      </w:r>
    </w:p>
    <w:p>
      <w:pPr>
        <w:pStyle w:val="Heading2"/>
      </w:pPr>
      <w:r>
        <w:t xml:space="preserve">Technical Prerequisites</w:t>
      </w:r>
    </w:p>
    <w:p>
      <w:pPr>
        <w:pStyle w:val="ListParagraph"/>
        <w:numPr>
          <w:ilvl w:val="0"/>
          <w:numId w:val="2"/>
        </w:numPr>
      </w:pPr>
      <w:r>
        <w:rPr>
          <w:b/>
          <w:bCs/>
        </w:rPr>
        <w:t xml:space="preserve">XML Generation: </w:t>
      </w:r>
      <w:r>
        <w:t xml:space="preserve">Library supporting EDIFACT-based XML structure</w:t>
      </w:r>
    </w:p>
    <w:p>
      <w:pPr>
        <w:pStyle w:val="ListParagraph"/>
        <w:numPr>
          <w:ilvl w:val="0"/>
          <w:numId w:val="2"/>
        </w:numPr>
      </w:pPr>
      <w:r>
        <w:rPr>
          <w:b/>
          <w:bCs/>
        </w:rPr>
        <w:t xml:space="preserve">XAdES Signing: </w:t>
      </w:r>
      <w:r>
        <w:t xml:space="preserve">Java (XAdES4j), .NET (XadesLib), or equivalent</w:t>
      </w:r>
    </w:p>
    <w:p>
      <w:pPr>
        <w:pStyle w:val="ListParagraph"/>
        <w:numPr>
          <w:ilvl w:val="0"/>
          <w:numId w:val="2"/>
        </w:numPr>
      </w:pPr>
      <w:r>
        <w:rPr>
          <w:b/>
          <w:bCs/>
        </w:rPr>
        <w:t xml:space="preserve">Certificate Management: </w:t>
      </w:r>
      <w:r>
        <w:t xml:space="preserve">Qualified certificate from TnTrust with hardware token (recommended)</w:t>
      </w:r>
    </w:p>
    <w:p>
      <w:pPr>
        <w:pStyle w:val="ListParagraph"/>
        <w:numPr>
          <w:ilvl w:val="0"/>
          <w:numId w:val="2"/>
        </w:numPr>
      </w:pPr>
      <w:r>
        <w:rPr>
          <w:b/>
          <w:bCs/>
        </w:rPr>
        <w:t xml:space="preserve">XML Validation: </w:t>
      </w:r>
      <w:r>
        <w:t xml:space="preserve">XSD schema validation (version 1.8.8)</w:t>
      </w:r>
    </w:p>
    <w:p>
      <w:pPr>
        <w:pStyle w:val="ListParagraph"/>
        <w:numPr>
          <w:ilvl w:val="0"/>
          <w:numId w:val="2"/>
        </w:numPr>
        <w:spacing w:after="360"/>
      </w:pPr>
      <w:r>
        <w:rPr>
          <w:b/>
          <w:bCs/>
        </w:rPr>
        <w:t xml:space="preserve">API Integration: </w:t>
      </w:r>
      <w:r>
        <w:t xml:space="preserve">TTN web services for submission and validation</w:t>
      </w:r>
    </w:p>
    <w:p>
      <w:pPr>
        <w:pStyle w:val="Heading2"/>
      </w:pPr>
      <w:r>
        <w:t xml:space="preserve">Validation Checklist</w:t>
      </w:r>
    </w:p>
    <w:p>
      <w:pPr>
        <w:pStyle w:val="ListParagraph"/>
        <w:numPr>
          <w:ilvl w:val="0"/>
          <w:numId w:val="2"/>
        </w:numPr>
      </w:pPr>
      <w:r>
        <w:t xml:space="preserve">XML well-formed and valid against XSD schema</w:t>
      </w:r>
    </w:p>
    <w:p>
      <w:pPr>
        <w:pStyle w:val="ListParagraph"/>
        <w:numPr>
          <w:ilvl w:val="0"/>
          <w:numId w:val="2"/>
        </w:numPr>
      </w:pPr>
      <w:r>
        <w:t xml:space="preserve">All required fields present and properly formatted</w:t>
      </w:r>
    </w:p>
    <w:p>
      <w:pPr>
        <w:pStyle w:val="ListParagraph"/>
        <w:numPr>
          <w:ilvl w:val="0"/>
          <w:numId w:val="2"/>
        </w:numPr>
      </w:pPr>
      <w:r>
        <w:t xml:space="preserve">Tax calculations accurate to 3 decimal places</w:t>
      </w:r>
    </w:p>
    <w:p>
      <w:pPr>
        <w:pStyle w:val="ListParagraph"/>
        <w:numPr>
          <w:ilvl w:val="0"/>
          <w:numId w:val="2"/>
        </w:numPr>
      </w:pPr>
      <w:r>
        <w:t xml:space="preserve">Supplier tax identifier matches certificate</w:t>
      </w:r>
    </w:p>
    <w:p>
      <w:pPr>
        <w:pStyle w:val="ListParagraph"/>
        <w:numPr>
          <w:ilvl w:val="0"/>
          <w:numId w:val="2"/>
        </w:numPr>
      </w:pPr>
      <w:r>
        <w:t xml:space="preserve">Digital signature validates successfully</w:t>
      </w:r>
    </w:p>
    <w:p>
      <w:pPr>
        <w:pStyle w:val="ListParagraph"/>
        <w:numPr>
          <w:ilvl w:val="0"/>
          <w:numId w:val="2"/>
        </w:numPr>
      </w:pPr>
      <w:r>
        <w:t xml:space="preserve">Date formats comply with specified patterns</w:t>
      </w:r>
    </w:p>
    <w:p>
      <w:pPr>
        <w:pStyle w:val="ListParagraph"/>
        <w:numPr>
          <w:ilvl w:val="0"/>
          <w:numId w:val="2"/>
        </w:numPr>
        <w:spacing w:after="360"/>
      </w:pPr>
      <w:r>
        <w:t xml:space="preserve">Invoice number unique within fiscal year</w:t>
      </w:r>
    </w:p>
    <w:p>
      <w:pPr>
        <w:pStyle w:val="Heading1"/>
      </w:pPr>
      <w:r>
        <w:t xml:space="preserve">Common Data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Type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Format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Example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Tax Identifier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NNNNNNNXAMZZZ</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0736202XAM000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Date (ddMMyy)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DDMMYY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070612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Date Range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ddMMyy-ddMMyy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010512-310512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DateTime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ddMMyyHHmm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1609201239</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Amount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Decimal(18,3)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1250.000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Percentage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Decimal(5,2)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19.00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Postal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 digits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1053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Country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ISO 3166-1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TN</w:t>
            </w:r>
          </w:p>
        </w:tc>
      </w:tr>
    </w:tbl>
    <w:p>
      <w:pPr>
        <w:pStyle w:val="Heading1"/>
      </w:pPr>
      <w:r>
        <w:t xml:space="preserve">Common Validation Errors</w:t>
      </w:r>
    </w:p>
    <w:p>
      <w:pPr>
        <w:pStyle w:val="Heading2"/>
      </w:pPr>
      <w:r>
        <w:t xml:space="preserve">Schema Validation Errors</w:t>
      </w:r>
    </w:p>
    <w:p>
      <w:pPr>
        <w:pStyle w:val="ListParagraph"/>
        <w:numPr>
          <w:ilvl w:val="0"/>
          <w:numId w:val="2"/>
        </w:numPr>
      </w:pPr>
      <w:r>
        <w:t xml:space="preserve">Missing required elements (DocumentIdentifier, DocumentType, etc.)</w:t>
      </w:r>
    </w:p>
    <w:p>
      <w:pPr>
        <w:pStyle w:val="ListParagraph"/>
        <w:numPr>
          <w:ilvl w:val="0"/>
          <w:numId w:val="2"/>
        </w:numPr>
      </w:pPr>
      <w:r>
        <w:t xml:space="preserve">Invalid enumeration values (document types, function codes)</w:t>
      </w:r>
    </w:p>
    <w:p>
      <w:pPr>
        <w:pStyle w:val="ListParagraph"/>
        <w:numPr>
          <w:ilvl w:val="0"/>
          <w:numId w:val="2"/>
        </w:numPr>
      </w:pPr>
      <w:r>
        <w:t xml:space="preserve">String length violations (max 35, 70, etc.)</w:t>
      </w:r>
    </w:p>
    <w:p>
      <w:pPr>
        <w:pStyle w:val="ListParagraph"/>
        <w:numPr>
          <w:ilvl w:val="0"/>
          <w:numId w:val="2"/>
        </w:numPr>
        <w:spacing w:after="240"/>
      </w:pPr>
      <w:r>
        <w:t xml:space="preserve">Date format mismatches</w:t>
      </w:r>
    </w:p>
    <w:p>
      <w:pPr>
        <w:pStyle w:val="Heading2"/>
      </w:pPr>
      <w:r>
        <w:t xml:space="preserve">Business Logic Errors</w:t>
      </w:r>
    </w:p>
    <w:p>
      <w:pPr>
        <w:pStyle w:val="ListParagraph"/>
        <w:numPr>
          <w:ilvl w:val="0"/>
          <w:numId w:val="2"/>
        </w:numPr>
      </w:pPr>
      <w:r>
        <w:t xml:space="preserve">Tax calculation discrepancies (tolerance: 0.001)</w:t>
      </w:r>
    </w:p>
    <w:p>
      <w:pPr>
        <w:pStyle w:val="ListParagraph"/>
        <w:numPr>
          <w:ilvl w:val="0"/>
          <w:numId w:val="2"/>
        </w:numPr>
      </w:pPr>
      <w:r>
        <w:t xml:space="preserve">Total amounts don't match sum of line items</w:t>
      </w:r>
    </w:p>
    <w:p>
      <w:pPr>
        <w:pStyle w:val="ListParagraph"/>
        <w:numPr>
          <w:ilvl w:val="0"/>
          <w:numId w:val="2"/>
        </w:numPr>
      </w:pPr>
      <w:r>
        <w:t xml:space="preserve">Invalid tax identifier format</w:t>
      </w:r>
    </w:p>
    <w:p>
      <w:pPr>
        <w:pStyle w:val="ListParagraph"/>
        <w:numPr>
          <w:ilvl w:val="0"/>
          <w:numId w:val="2"/>
        </w:numPr>
        <w:spacing w:after="240"/>
      </w:pPr>
      <w:r>
        <w:t xml:space="preserve">Duplicate invoice numbers</w:t>
      </w:r>
    </w:p>
    <w:p>
      <w:pPr>
        <w:pStyle w:val="Heading2"/>
      </w:pPr>
      <w:r>
        <w:t xml:space="preserve">Signature Errors</w:t>
      </w:r>
    </w:p>
    <w:p>
      <w:pPr>
        <w:pStyle w:val="ListParagraph"/>
        <w:numPr>
          <w:ilvl w:val="0"/>
          <w:numId w:val="2"/>
        </w:numPr>
      </w:pPr>
      <w:r>
        <w:t xml:space="preserve">Certificate expired or revoked</w:t>
      </w:r>
    </w:p>
    <w:p>
      <w:pPr>
        <w:pStyle w:val="ListParagraph"/>
        <w:numPr>
          <w:ilvl w:val="0"/>
          <w:numId w:val="2"/>
        </w:numPr>
      </w:pPr>
      <w:r>
        <w:t xml:space="preserve">Invalid signature algorithm</w:t>
      </w:r>
    </w:p>
    <w:p>
      <w:pPr>
        <w:pStyle w:val="ListParagraph"/>
        <w:numPr>
          <w:ilvl w:val="0"/>
          <w:numId w:val="2"/>
        </w:numPr>
      </w:pPr>
      <w:r>
        <w:t xml:space="preserve">Signature verification failure</w:t>
      </w:r>
    </w:p>
    <w:p>
      <w:pPr>
        <w:pStyle w:val="ListParagraph"/>
        <w:numPr>
          <w:ilvl w:val="0"/>
          <w:numId w:val="2"/>
        </w:numPr>
        <w:spacing w:after="360"/>
      </w:pPr>
      <w:r>
        <w:t xml:space="preserve">Certificate issuer not trusted</w:t>
      </w:r>
    </w:p>
    <w:p>
      <w:pPr>
        <w:pStyle w:val="Heading1"/>
      </w:pPr>
      <w:r>
        <w:t xml:space="preserve">Best Practices</w:t>
      </w:r>
    </w:p>
    <w:p>
      <w:pPr>
        <w:pStyle w:val="Heading2"/>
      </w:pPr>
      <w:r>
        <w:t xml:space="preserve">Development</w:t>
      </w:r>
    </w:p>
    <w:p>
      <w:pPr>
        <w:pStyle w:val="ListParagraph"/>
        <w:numPr>
          <w:ilvl w:val="0"/>
          <w:numId w:val="2"/>
        </w:numPr>
      </w:pPr>
      <w:r>
        <w:rPr>
          <w:b/>
          <w:bCs/>
        </w:rPr>
        <w:t xml:space="preserve">Use TTN test environment: </w:t>
      </w:r>
      <w:r>
        <w:t xml:space="preserve">Thoroughly test with sample invoices before production</w:t>
      </w:r>
    </w:p>
    <w:p>
      <w:pPr>
        <w:pStyle w:val="ListParagraph"/>
        <w:numPr>
          <w:ilvl w:val="0"/>
          <w:numId w:val="2"/>
        </w:numPr>
      </w:pPr>
      <w:r>
        <w:rPr>
          <w:b/>
          <w:bCs/>
        </w:rPr>
        <w:t xml:space="preserve">Validate locally first: </w:t>
      </w:r>
      <w:r>
        <w:t xml:space="preserve">Use XSD validation before submitting to TTN</w:t>
      </w:r>
    </w:p>
    <w:p>
      <w:pPr>
        <w:pStyle w:val="ListParagraph"/>
        <w:numPr>
          <w:ilvl w:val="0"/>
          <w:numId w:val="2"/>
        </w:numPr>
      </w:pPr>
      <w:r>
        <w:rPr>
          <w:b/>
          <w:bCs/>
        </w:rPr>
        <w:t xml:space="preserve">Implement retry logic: </w:t>
      </w:r>
      <w:r>
        <w:t xml:space="preserve">Handle network failures gracefully</w:t>
      </w:r>
    </w:p>
    <w:p>
      <w:pPr>
        <w:pStyle w:val="ListParagraph"/>
        <w:numPr>
          <w:ilvl w:val="0"/>
          <w:numId w:val="2"/>
        </w:numPr>
        <w:spacing w:after="240"/>
      </w:pPr>
      <w:r>
        <w:rPr>
          <w:b/>
          <w:bCs/>
        </w:rPr>
        <w:t xml:space="preserve">Store original signed XML: </w:t>
      </w:r>
      <w:r>
        <w:t xml:space="preserve">Archive for audit purposes (minimum 10 years)</w:t>
      </w:r>
    </w:p>
    <w:p>
      <w:pPr>
        <w:pStyle w:val="Heading2"/>
      </w:pPr>
      <w:r>
        <w:t xml:space="preserve">Production</w:t>
      </w:r>
    </w:p>
    <w:p>
      <w:pPr>
        <w:pStyle w:val="ListParagraph"/>
        <w:numPr>
          <w:ilvl w:val="0"/>
          <w:numId w:val="2"/>
        </w:numPr>
      </w:pPr>
      <w:r>
        <w:rPr>
          <w:b/>
          <w:bCs/>
        </w:rPr>
        <w:t xml:space="preserve">Certificate security: </w:t>
      </w:r>
      <w:r>
        <w:t xml:space="preserve">Use hardware security module (HSM) for private keys</w:t>
      </w:r>
    </w:p>
    <w:p>
      <w:pPr>
        <w:pStyle w:val="ListParagraph"/>
        <w:numPr>
          <w:ilvl w:val="0"/>
          <w:numId w:val="2"/>
        </w:numPr>
      </w:pPr>
      <w:r>
        <w:rPr>
          <w:b/>
          <w:bCs/>
        </w:rPr>
        <w:t xml:space="preserve">Monitoring: </w:t>
      </w:r>
      <w:r>
        <w:t xml:space="preserve">Track submission success rates and error types</w:t>
      </w:r>
    </w:p>
    <w:p>
      <w:pPr>
        <w:pStyle w:val="ListParagraph"/>
        <w:numPr>
          <w:ilvl w:val="0"/>
          <w:numId w:val="2"/>
        </w:numPr>
      </w:pPr>
      <w:r>
        <w:rPr>
          <w:b/>
          <w:bCs/>
        </w:rPr>
        <w:t xml:space="preserve">Backup: </w:t>
      </w:r>
      <w:r>
        <w:t xml:space="preserve">Maintain redundant certificate copies in secure storage</w:t>
      </w:r>
    </w:p>
    <w:p>
      <w:pPr>
        <w:pStyle w:val="ListParagraph"/>
        <w:numPr>
          <w:ilvl w:val="0"/>
          <w:numId w:val="2"/>
        </w:numPr>
        <w:spacing w:after="360"/>
      </w:pPr>
      <w:r>
        <w:rPr>
          <w:b/>
          <w:bCs/>
        </w:rPr>
        <w:t xml:space="preserve">Performance: </w:t>
      </w:r>
      <w:r>
        <w:t xml:space="preserve">Batch submissions during off-peak hours when possible</w:t>
      </w:r>
    </w:p>
    <w:p>
      <w:pPr>
        <w:pStyle w:val="Heading1"/>
      </w:pPr>
      <w:r>
        <w:t xml:space="preserve">Recommended Integration Architecture</w:t>
      </w:r>
    </w:p>
    <w:p>
      <w:pPr>
        <w:spacing w:after="180"/>
      </w:pPr>
      <w:r>
        <w:t xml:space="preserve">For enterprise systems like your COMPTA ERP, consider this microservices-based approach:</w:t>
      </w:r>
    </w:p>
    <w:p>
      <w:pPr>
        <w:pStyle w:val="Heading2"/>
      </w:pPr>
      <w:r>
        <w:t xml:space="preserve">Architecture Components</w:t>
      </w:r>
    </w:p>
    <w:p>
      <w:pPr>
        <w:pStyle w:val="ListParagraph"/>
        <w:numPr>
          <w:ilvl w:val="0"/>
          <w:numId w:val="2"/>
        </w:numPr>
      </w:pPr>
      <w:r>
        <w:rPr>
          <w:b/>
          <w:bCs/>
        </w:rPr>
        <w:t xml:space="preserve">Invoice Service: </w:t>
      </w:r>
      <w:r>
        <w:t xml:space="preserve">Core business logic (Spring Boot)</w:t>
      </w:r>
    </w:p>
    <w:p>
      <w:pPr>
        <w:pStyle w:val="ListParagraph"/>
        <w:numPr>
          <w:ilvl w:val="1"/>
          <w:numId w:val="2"/>
        </w:numPr>
      </w:pPr>
      <w:r>
        <w:t xml:space="preserve">Generate invoice data from ERP transactions</w:t>
      </w:r>
    </w:p>
    <w:p>
      <w:pPr>
        <w:pStyle w:val="ListParagraph"/>
        <w:numPr>
          <w:ilvl w:val="1"/>
          <w:numId w:val="2"/>
        </w:numPr>
        <w:spacing w:after="180"/>
      </w:pPr>
      <w:r>
        <w:t xml:space="preserve">Validate business rules before XML generation</w:t>
      </w:r>
    </w:p>
    <w:p>
      <w:pPr>
        <w:pStyle w:val="ListParagraph"/>
        <w:numPr>
          <w:ilvl w:val="0"/>
          <w:numId w:val="2"/>
        </w:numPr>
      </w:pPr>
      <w:r>
        <w:rPr>
          <w:b/>
          <w:bCs/>
        </w:rPr>
        <w:t xml:space="preserve">XML Generation Service: </w:t>
      </w:r>
      <w:r>
        <w:t xml:space="preserve">Transform to El Fatoora XML</w:t>
      </w:r>
    </w:p>
    <w:p>
      <w:pPr>
        <w:pStyle w:val="ListParagraph"/>
        <w:numPr>
          <w:ilvl w:val="1"/>
          <w:numId w:val="2"/>
        </w:numPr>
      </w:pPr>
      <w:r>
        <w:t xml:space="preserve">Use JAXB or similar for type-safe XML generation</w:t>
      </w:r>
    </w:p>
    <w:p>
      <w:pPr>
        <w:pStyle w:val="ListParagraph"/>
        <w:numPr>
          <w:ilvl w:val="1"/>
          <w:numId w:val="2"/>
        </w:numPr>
        <w:spacing w:after="180"/>
      </w:pPr>
      <w:r>
        <w:t xml:space="preserve">Perform XSD validation</w:t>
      </w:r>
    </w:p>
    <w:p>
      <w:pPr>
        <w:pStyle w:val="ListParagraph"/>
        <w:numPr>
          <w:ilvl w:val="0"/>
          <w:numId w:val="2"/>
        </w:numPr>
      </w:pPr>
      <w:r>
        <w:rPr>
          <w:b/>
          <w:bCs/>
        </w:rPr>
        <w:t xml:space="preserve">Signature Service: </w:t>
      </w:r>
      <w:r>
        <w:t xml:space="preserve">Digital signing with XAdES</w:t>
      </w:r>
    </w:p>
    <w:p>
      <w:pPr>
        <w:pStyle w:val="ListParagraph"/>
        <w:numPr>
          <w:ilvl w:val="1"/>
          <w:numId w:val="2"/>
        </w:numPr>
      </w:pPr>
      <w:r>
        <w:t xml:space="preserve">Integrate with HSM for certificate management</w:t>
      </w:r>
    </w:p>
    <w:p>
      <w:pPr>
        <w:pStyle w:val="ListParagraph"/>
        <w:numPr>
          <w:ilvl w:val="1"/>
          <w:numId w:val="2"/>
        </w:numPr>
        <w:spacing w:after="180"/>
      </w:pPr>
      <w:r>
        <w:t xml:space="preserve">Handle certificate expiration alerts</w:t>
      </w:r>
    </w:p>
    <w:p>
      <w:pPr>
        <w:pStyle w:val="ListParagraph"/>
        <w:numPr>
          <w:ilvl w:val="0"/>
          <w:numId w:val="2"/>
        </w:numPr>
      </w:pPr>
      <w:r>
        <w:rPr>
          <w:b/>
          <w:bCs/>
        </w:rPr>
        <w:t xml:space="preserve">TTN Integration Service: </w:t>
      </w:r>
      <w:r>
        <w:t xml:space="preserve">Communication with TTN platform</w:t>
      </w:r>
    </w:p>
    <w:p>
      <w:pPr>
        <w:pStyle w:val="ListParagraph"/>
        <w:numPr>
          <w:ilvl w:val="1"/>
          <w:numId w:val="2"/>
        </w:numPr>
      </w:pPr>
      <w:r>
        <w:t xml:space="preserve">Submit signed invoices</w:t>
      </w:r>
    </w:p>
    <w:p>
      <w:pPr>
        <w:pStyle w:val="ListParagraph"/>
        <w:numPr>
          <w:ilvl w:val="1"/>
          <w:numId w:val="2"/>
        </w:numPr>
      </w:pPr>
      <w:r>
        <w:t xml:space="preserve">Poll for validation results</w:t>
      </w:r>
    </w:p>
    <w:p>
      <w:pPr>
        <w:pStyle w:val="ListParagraph"/>
        <w:numPr>
          <w:ilvl w:val="1"/>
          <w:numId w:val="2"/>
        </w:numPr>
        <w:spacing w:after="180"/>
      </w:pPr>
      <w:r>
        <w:t xml:space="preserve">Retrieve validated invoices with QR codes</w:t>
      </w:r>
    </w:p>
    <w:p>
      <w:pPr>
        <w:pStyle w:val="ListParagraph"/>
        <w:numPr>
          <w:ilvl w:val="0"/>
          <w:numId w:val="2"/>
        </w:numPr>
      </w:pPr>
      <w:r>
        <w:rPr>
          <w:b/>
          <w:bCs/>
        </w:rPr>
        <w:t xml:space="preserve">Storage Service: </w:t>
      </w:r>
      <w:r>
        <w:t xml:space="preserve">Archive management</w:t>
      </w:r>
    </w:p>
    <w:p>
      <w:pPr>
        <w:pStyle w:val="ListParagraph"/>
        <w:numPr>
          <w:ilvl w:val="1"/>
          <w:numId w:val="2"/>
        </w:numPr>
      </w:pPr>
      <w:r>
        <w:t xml:space="preserve">Store original signed XML (PostgreSQL JSONB)</w:t>
      </w:r>
    </w:p>
    <w:p>
      <w:pPr>
        <w:pStyle w:val="ListParagraph"/>
        <w:numPr>
          <w:ilvl w:val="1"/>
          <w:numId w:val="2"/>
        </w:numPr>
      </w:pPr>
      <w:r>
        <w:t xml:space="preserve">Store validated XML with TTN reference</w:t>
      </w:r>
    </w:p>
    <w:p>
      <w:pPr>
        <w:pStyle w:val="ListParagraph"/>
        <w:numPr>
          <w:ilvl w:val="1"/>
          <w:numId w:val="2"/>
        </w:numPr>
        <w:spacing w:after="360"/>
      </w:pPr>
      <w:r>
        <w:t xml:space="preserve">Generate PDF representations for customer delivery</w:t>
      </w:r>
    </w:p>
    <w:p>
      <w:pPr>
        <w:pStyle w:val="Heading2"/>
      </w:pPr>
      <w:r>
        <w:t xml:space="preserve">Technology Stack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Component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Technology</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Rationale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XML Generation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JAXB with XJC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Type-safe, generates Java classes from XSD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XAdES Signing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XAdES4j or DSS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Comprehensive XAdES support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HTTP Client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Spring WebClient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Reactive, non-blocking for TTN API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Message Queue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Redis Streams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Already in your stack, reliable delivery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PostgreSQL + JSONB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Store full XML with indexing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Caching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Cache validation results, TTN responses</w:t>
            </w:r>
          </w:p>
        </w:tc>
      </w:tr>
    </w:tbl>
    <w:p>
      <w:pPr>
        <w:pStyle w:val="Heading1"/>
      </w:pPr>
      <w:r>
        <w:t xml:space="preserve">Sample Implementation Snippets</w:t>
      </w:r>
    </w:p>
    <w:p>
      <w:pPr>
        <w:pStyle w:val="Heading2"/>
      </w:pPr>
      <w:r>
        <w:t xml:space="preserve">Java JAXB Configuration</w:t>
      </w:r>
    </w:p>
    <w:p>
      <w:pPr>
        <w:spacing w:after="120"/>
      </w:pPr>
      <w:r>
        <w:rPr>
          <w:i/>
          <w:iCs/>
        </w:rPr>
        <w:t xml:space="preserve">Generate Java classes from XSD:</w:t>
      </w:r>
    </w:p>
    <w:p>
      <w:pPr>
        <w:pStyle w:val="CodeBlock"/>
        <w:spacing w:after="360"/>
      </w:pPr>
      <w:r>
        <w:t xml:space="preserve">xjc -p tn.tradenet.invoice.model \</w:t>
      </w:r>
    </w:p>
    <w:p>
      <w:pPr>
        <w:pStyle w:val="CodeBlock"/>
        <w:spacing w:after="360"/>
      </w:pPr>
      <w:r>
        <w:t xml:space="preserve">    facture_INVOIC_V1_8_8_withSig.xsd</w:t>
      </w:r>
    </w:p>
    <w:p>
      <w:pPr>
        <w:pStyle w:val="Heading2"/>
      </w:pPr>
      <w:r>
        <w:t xml:space="preserve">Spring Boot Service Structure</w:t>
      </w:r>
    </w:p>
    <w:p>
      <w:pPr>
        <w:pStyle w:val="CodeBlock"/>
      </w:pPr>
      <w:r>
        <w:t xml:space="preserve">@Service</w:t>
      </w:r>
    </w:p>
    <w:p>
      <w:pPr>
        <w:pStyle w:val="CodeBlock"/>
      </w:pPr>
      <w:r>
        <w:t xml:space="preserve">public class ElFatooraService {</w:t>
      </w:r>
    </w:p>
    <w:p>
      <w:pPr>
        <w:pStyle w:val="CodeBlock"/>
      </w:pPr>
      <w:r>
        <w:t xml:space="preserve">    </w:t>
      </w:r>
    </w:p>
    <w:p>
      <w:pPr>
        <w:pStyle w:val="CodeBlock"/>
      </w:pPr>
      <w:r>
        <w:t xml:space="preserve">    @Autowired</w:t>
      </w:r>
    </w:p>
    <w:p>
      <w:pPr>
        <w:pStyle w:val="CodeBlock"/>
      </w:pPr>
      <w:r>
        <w:t xml:space="preserve">    private XmlGenerationService xmlGenerator;</w:t>
      </w:r>
    </w:p>
    <w:p>
      <w:pPr>
        <w:pStyle w:val="CodeBlock"/>
      </w:pPr>
      <w:r>
        <w:t xml:space="preserve">    </w:t>
      </w:r>
    </w:p>
    <w:p>
      <w:pPr>
        <w:pStyle w:val="CodeBlock"/>
      </w:pPr>
      <w:r>
        <w:t xml:space="preserve">    @Autowired</w:t>
      </w:r>
    </w:p>
    <w:p>
      <w:pPr>
        <w:pStyle w:val="CodeBlock"/>
      </w:pPr>
      <w:r>
        <w:t xml:space="preserve">    private XadesSignatureService signatureService;</w:t>
      </w:r>
    </w:p>
    <w:p>
      <w:pPr>
        <w:pStyle w:val="CodeBlock"/>
      </w:pPr>
      <w:r>
        <w:t xml:space="preserve">    </w:t>
      </w:r>
    </w:p>
    <w:p>
      <w:pPr>
        <w:pStyle w:val="CodeBlock"/>
      </w:pPr>
      <w:r>
        <w:t xml:space="preserve">    @Autowired</w:t>
      </w:r>
    </w:p>
    <w:p>
      <w:pPr>
        <w:pStyle w:val="CodeBlock"/>
      </w:pPr>
      <w:r>
        <w:t xml:space="preserve">    private TtnIntegrationService ttnClient;</w:t>
      </w:r>
    </w:p>
    <w:p>
      <w:pPr>
        <w:pStyle w:val="CodeBlock"/>
      </w:pPr>
      <w:r>
        <w:t xml:space="preserve">    </w:t>
      </w:r>
    </w:p>
    <w:p>
      <w:pPr>
        <w:pStyle w:val="CodeBlock"/>
      </w:pPr>
      <w:r>
        <w:t xml:space="preserve">    public InvoiceSubmissionResult submitInvoice(</w:t>
      </w:r>
    </w:p>
    <w:p>
      <w:pPr>
        <w:pStyle w:val="CodeBlock"/>
      </w:pPr>
      <w:r>
        <w:t xml:space="preserve">            InvoiceData invoice) {</w:t>
      </w:r>
    </w:p>
    <w:p>
      <w:pPr>
        <w:pStyle w:val="CodeBlock"/>
      </w:pPr>
      <w:r>
        <w:t xml:space="preserve">        </w:t>
      </w:r>
    </w:p>
    <w:p>
      <w:pPr>
        <w:pStyle w:val="CodeBlock"/>
      </w:pPr>
      <w:r>
        <w:t xml:space="preserve">        // 1. Generate XML</w:t>
      </w:r>
    </w:p>
    <w:p>
      <w:pPr>
        <w:pStyle w:val="CodeBlock"/>
      </w:pPr>
      <w:r>
        <w:t xml:space="preserve">        String unsignedXml = xmlGenerator.generate(invoice);</w:t>
      </w:r>
    </w:p>
    <w:p>
      <w:pPr>
        <w:pStyle w:val="CodeBlock"/>
      </w:pPr>
      <w:r>
        <w:t xml:space="preserve">        </w:t>
      </w:r>
    </w:p>
    <w:p>
      <w:pPr>
        <w:pStyle w:val="CodeBlock"/>
      </w:pPr>
      <w:r>
        <w:t xml:space="preserve">        // 2. Sign with XAdES</w:t>
      </w:r>
    </w:p>
    <w:p>
      <w:pPr>
        <w:pStyle w:val="CodeBlock"/>
      </w:pPr>
      <w:r>
        <w:t xml:space="preserve">        String signedXml = signatureService.sign(unsignedXml);</w:t>
      </w:r>
    </w:p>
    <w:p>
      <w:pPr>
        <w:pStyle w:val="CodeBlock"/>
      </w:pPr>
      <w:r>
        <w:t xml:space="preserve">        </w:t>
      </w:r>
    </w:p>
    <w:p>
      <w:pPr>
        <w:pStyle w:val="CodeBlock"/>
      </w:pPr>
      <w:r>
        <w:t xml:space="preserve">        // 3. Submit to TTN</w:t>
      </w:r>
    </w:p>
    <w:p>
      <w:pPr>
        <w:pStyle w:val="CodeBlock"/>
      </w:pPr>
      <w:r>
        <w:t xml:space="preserve">        return ttnClient.submit(signedXml);</w:t>
      </w:r>
    </w:p>
    <w:p>
      <w:pPr>
        <w:pStyle w:val="CodeBlock"/>
        <w:spacing w:after="360"/>
      </w:pPr>
      <w:r>
        <w:t xml:space="preserve">    }</w:t>
      </w:r>
    </w:p>
    <w:p>
      <w:pPr>
        <w:pStyle w:val="CodeBlock"/>
        <w:spacing w:after="360"/>
      </w:pPr>
      <w:r>
        <w:t xml:space="preserve">}</w:t>
      </w:r>
    </w:p>
    <w:p>
      <w:pPr>
        <w:pStyle w:val="Heading1"/>
      </w:pPr>
      <w:r>
        <w:t xml:space="preserve">Conclusion</w:t>
      </w:r>
    </w:p>
    <w:p>
      <w:pPr>
        <w:spacing w:after="180"/>
      </w:pPr>
      <w:r>
        <w:t xml:space="preserve">The Tunisian El Fatoora system represents a comprehensive e-invoicing solution that combines:</w:t>
      </w:r>
    </w:p>
    <w:p>
      <w:pPr>
        <w:pStyle w:val="ListParagraph"/>
        <w:numPr>
          <w:ilvl w:val="0"/>
          <w:numId w:val="2"/>
        </w:numPr>
      </w:pPr>
      <w:r>
        <w:t xml:space="preserve">Robust XML structure based on international EDIFACT standards</w:t>
      </w:r>
    </w:p>
    <w:p>
      <w:pPr>
        <w:pStyle w:val="ListParagraph"/>
        <w:numPr>
          <w:ilvl w:val="0"/>
          <w:numId w:val="2"/>
        </w:numPr>
      </w:pPr>
      <w:r>
        <w:t xml:space="preserve">Strong cryptographic security with dual XAdES signatures</w:t>
      </w:r>
    </w:p>
    <w:p>
      <w:pPr>
        <w:pStyle w:val="ListParagraph"/>
        <w:numPr>
          <w:ilvl w:val="0"/>
          <w:numId w:val="2"/>
        </w:numPr>
      </w:pPr>
      <w:r>
        <w:t xml:space="preserve">Complete audit trail through TTN validation</w:t>
      </w:r>
    </w:p>
    <w:p>
      <w:pPr>
        <w:pStyle w:val="ListParagraph"/>
        <w:numPr>
          <w:ilvl w:val="0"/>
          <w:numId w:val="2"/>
        </w:numPr>
        <w:spacing w:after="240"/>
      </w:pPr>
      <w:r>
        <w:t xml:space="preserve">Mobile verification capabilities via QR codes</w:t>
      </w:r>
    </w:p>
    <w:p>
      <w:pPr>
        <w:spacing w:after="180"/>
      </w:pPr>
      <w:r>
        <w:t xml:space="preserve">For your COMPTA system, integrating El Fatoora will require careful attention to XML generation accuracy, secure certificate management, and reliable TTN communication. The microservices architecture outlined above provides a scalable foundation that can handle high-volume invoice processing while maintaining compliance with Tunisian regulations.</w:t>
      </w:r>
    </w:p>
    <w:p>
      <w:pPr>
        <w:spacing w:after="360"/>
      </w:pPr>
      <w:r>
        <w:rPr>
          <w:b/>
          <w:bCs/>
        </w:rPr>
        <w:t xml:space="preserve">Next Steps:</w:t>
      </w:r>
    </w:p>
    <w:p>
      <w:pPr>
        <w:pStyle w:val="ListParagraph"/>
        <w:numPr>
          <w:ilvl w:val="0"/>
          <w:numId w:val="2"/>
        </w:numPr>
      </w:pPr>
      <w:r>
        <w:t xml:space="preserve">Obtain qualified digital certificate from TnTrust</w:t>
      </w:r>
    </w:p>
    <w:p>
      <w:pPr>
        <w:pStyle w:val="ListParagraph"/>
        <w:numPr>
          <w:ilvl w:val="0"/>
          <w:numId w:val="2"/>
        </w:numPr>
      </w:pPr>
      <w:r>
        <w:t xml:space="preserve">Register with TTN platform for test environment access</w:t>
      </w:r>
    </w:p>
    <w:p>
      <w:pPr>
        <w:pStyle w:val="ListParagraph"/>
        <w:numPr>
          <w:ilvl w:val="0"/>
          <w:numId w:val="2"/>
        </w:numPr>
      </w:pPr>
      <w:r>
        <w:t xml:space="preserve">Implement XML generation layer with JAXB</w:t>
      </w:r>
    </w:p>
    <w:p>
      <w:pPr>
        <w:pStyle w:val="ListParagraph"/>
        <w:numPr>
          <w:ilvl w:val="0"/>
          <w:numId w:val="2"/>
        </w:numPr>
      </w:pPr>
      <w:r>
        <w:t xml:space="preserve">Set up XAdES signing infrastructure</w:t>
      </w:r>
    </w:p>
    <w:p>
      <w:pPr>
        <w:pStyle w:val="ListParagraph"/>
        <w:numPr>
          <w:ilvl w:val="0"/>
          <w:numId w:val="2"/>
        </w:numPr>
      </w:pPr>
      <w:r>
        <w:t xml:space="preserve">Develop TTN API integration with retry logic</w:t>
      </w:r>
    </w:p>
    <w:p>
      <w:pPr>
        <w:pStyle w:val="ListParagraph"/>
        <w:numPr>
          <w:ilvl w:val="0"/>
          <w:numId w:val="2"/>
        </w:numPr>
        <w:spacing w:after="360"/>
      </w:pPr>
      <w:r>
        <w:t xml:space="preserve">Test thoroughly in sandbox before production rollout</w:t>
      </w:r>
    </w:p>
    <w:p>
      <w:r>
        <w:br w:type="page"/>
      </w:r>
    </w:p>
    <w:p>
      <w:pPr>
        <w:pStyle w:val="Heading1"/>
      </w:pPr>
      <w:r>
        <w:t xml:space="preserve">Appendix: Quick Reference Tables</w:t>
      </w:r>
    </w:p>
    <w:p>
      <w:pPr>
        <w:pStyle w:val="Heading2"/>
      </w:pPr>
      <w:r>
        <w:t xml:space="preserve">Document Type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Code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French</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English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Invoice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Avoir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Credit Note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Facture de débit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Debit Note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Facture simplifiée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Simplified Invoice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Facture d'auto-facturation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Self-billed Invoice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Facture rectificative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Corrective Invoice</w:t>
            </w:r>
          </w:p>
        </w:tc>
      </w:tr>
    </w:tbl>
    <w:p>
      <w:pPr>
        <w:pStyle w:val="Heading2"/>
      </w:pPr>
      <w:r>
        <w:t xml:space="preserve">Partner Function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Code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I-62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Supplier (Fournisseur)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I-64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Customer (Client)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I-66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End User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I-67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Delivery Party</w:t>
            </w:r>
          </w:p>
        </w:tc>
      </w:tr>
    </w:tbl>
    <w:p>
      <w:pPr>
        <w:pStyle w:val="Heading2"/>
      </w:pPr>
      <w:r>
        <w:t xml:space="preserve">Common Unit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Code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Description</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French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Piece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Pièce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KGM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Kilogram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Kilogramme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Litre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MTR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Mètre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MTK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Square Meter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Mètre carré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MTQ</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Cubic Meter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Mètre cube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Heure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Jour</w:t>
            </w:r>
          </w:p>
        </w:tc>
      </w:tr>
    </w:tbl>
    <w:p>
      <w:pPr>
        <w:pStyle w:val="Heading2"/>
      </w:pPr>
      <w:r>
        <w:t xml:space="preserve">Contact Method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Code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Telephone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I-104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Website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4B5"/>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2E74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4B5"/>
      <w:sz w:val="26"/>
      <w:szCs w:val="26"/>
    </w:rPr>
  </w:style>
  <w:style w:type="paragraph" w:styleId="CodeBlock">
    <w:name w:val="Code Block"/>
    <w:basedOn w:val="Normal"/>
    <w:pPr>
      <w:shd w:fill="F5F5F5" w:val="clear"/>
      <w:spacing w:before="120" w:after="1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2026-01-12T11:19:51.683Z</dcterms:created>
  <dcterms:modified xsi:type="dcterms:W3CDTF">2026-01-12T11:19:51.684Z</dcterms:modified>
</cp:coreProperties>
</file>

<file path=docProps/custom.xml><?xml version="1.0" encoding="utf-8"?>
<Properties xmlns="http://schemas.openxmlformats.org/officeDocument/2006/custom-properties" xmlns:vt="http://schemas.openxmlformats.org/officeDocument/2006/docPropsVTypes"/>
</file>