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E1" w:rsidRDefault="00BB530D">
      <w:pPr>
        <w:pStyle w:val="Balk1"/>
      </w:pPr>
      <w:r>
        <w:t>DHCP (Dynamic Host Configuration Protocol)</w:t>
      </w:r>
    </w:p>
    <w:p w:rsidR="00B653E1" w:rsidRDefault="00BB530D">
      <w:pPr>
        <w:pStyle w:val="Balk2"/>
      </w:pPr>
      <w:r>
        <w:t>Giriş</w:t>
      </w:r>
    </w:p>
    <w:p w:rsidR="00B653E1" w:rsidRDefault="00BB530D">
      <w:r>
        <w:t>DHCP, ağdaki cihazlara otomatik olarak IP adresi atayan bir "ev sahibi" gibidir. Yeni bir cihaz ağa katıldığında ona gerekli ağ bilgilerini verir.</w:t>
      </w:r>
    </w:p>
    <w:p w:rsidR="00B653E1" w:rsidRDefault="00BB530D">
      <w:pPr>
        <w:pStyle w:val="Balk2"/>
      </w:pPr>
      <w:r>
        <w:t>Neden Önemlidir?</w:t>
      </w:r>
    </w:p>
    <w:p w:rsidR="00B653E1" w:rsidRDefault="00BB530D">
      <w:pPr>
        <w:pStyle w:val="ListeMaddemi"/>
      </w:pPr>
      <w:r>
        <w:t>⏱</w:t>
      </w:r>
      <w:r>
        <w:t>️</w:t>
      </w:r>
      <w:r>
        <w:t xml:space="preserve"> Manuel IP atama zahmetinden kurtarır</w:t>
      </w:r>
    </w:p>
    <w:p w:rsidR="00B653E1" w:rsidRDefault="00BB530D">
      <w:pPr>
        <w:pStyle w:val="ListeMaddemi"/>
      </w:pPr>
      <w:r>
        <w:t>🔄</w:t>
      </w:r>
      <w:r>
        <w:t xml:space="preserve"> Cihazlar ağa kolayca bağlanabilir</w:t>
      </w:r>
    </w:p>
    <w:p w:rsidR="00B653E1" w:rsidRDefault="00BB530D">
      <w:pPr>
        <w:pStyle w:val="ListeMaddemi"/>
      </w:pPr>
      <w:r>
        <w:t>🤝</w:t>
      </w:r>
      <w:r>
        <w:t xml:space="preserve"> IP çakışmalarını önler</w:t>
      </w:r>
    </w:p>
    <w:p w:rsidR="00BB530D" w:rsidRDefault="00BB530D">
      <w:pPr>
        <w:pStyle w:val="Balk2"/>
      </w:pPr>
      <w:r>
        <w:rPr>
          <w:noProof/>
          <w:lang w:val="tr-TR" w:eastAsia="tr-TR"/>
        </w:rPr>
        <w:drawing>
          <wp:inline distT="0" distB="0" distL="0" distR="0">
            <wp:extent cx="6858000" cy="22555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1" w:rsidRDefault="00BB530D">
      <w:pPr>
        <w:pStyle w:val="Balk2"/>
      </w:pPr>
      <w:r>
        <w:t>Temel Bilgiler</w:t>
      </w:r>
    </w:p>
    <w:p w:rsidR="00B653E1" w:rsidRDefault="00BB530D">
      <w:r>
        <w:rPr>
          <w:b/>
        </w:rPr>
        <w:t>DHCP Süreci (DORA):</w:t>
      </w:r>
      <w:r>
        <w:br/>
        <w:t xml:space="preserve">1. </w:t>
      </w:r>
      <w:r>
        <w:rPr>
          <w:b/>
        </w:rPr>
        <w:t>Discover</w:t>
      </w:r>
      <w:r>
        <w:t>: Cihaz "IP lazım!" diye bağırır</w:t>
      </w:r>
      <w:r>
        <w:br/>
        <w:t xml:space="preserve">2. </w:t>
      </w:r>
      <w:r>
        <w:rPr>
          <w:b/>
        </w:rPr>
        <w:t>Offer</w:t>
      </w:r>
      <w:r>
        <w:t>: DHCP sunucusu "Al şu IP'yi" teklif eder</w:t>
      </w:r>
      <w:r>
        <w:br/>
        <w:t xml:space="preserve">3. </w:t>
      </w:r>
      <w:r>
        <w:rPr>
          <w:b/>
        </w:rPr>
        <w:t>Request</w:t>
      </w:r>
      <w:r>
        <w:t>: Cihaz "Tamam kabul" der</w:t>
      </w:r>
      <w:bookmarkStart w:id="0" w:name="_GoBack"/>
      <w:bookmarkEnd w:id="0"/>
      <w:r>
        <w:br/>
        <w:t xml:space="preserve">4. </w:t>
      </w:r>
      <w:r>
        <w:rPr>
          <w:b/>
        </w:rPr>
        <w:t>Acknowledgment</w:t>
      </w:r>
      <w:r>
        <w:t>: DHCP "Peki,</w:t>
      </w:r>
      <w:r>
        <w:t xml:space="preserve"> bu IP senin" onayı verir</w:t>
      </w:r>
    </w:p>
    <w:p w:rsidR="00B653E1" w:rsidRDefault="00BB530D">
      <w:r>
        <w:rPr>
          <w:b/>
        </w:rPr>
        <w:t>APIPA (Otomatik Özel IP):</w:t>
      </w:r>
      <w:r>
        <w:br/>
        <w:t>- DHCP sunucusu yoksa cihaz kendine 169.254.x.x adresi verir</w:t>
      </w:r>
      <w:r>
        <w:br/>
        <w:t>- Sadece aynı durumdaki cihazlarla iletişim kurabilir</w:t>
      </w:r>
    </w:p>
    <w:p w:rsidR="00B653E1" w:rsidRDefault="00BB530D">
      <w:pPr>
        <w:pStyle w:val="Balk2"/>
      </w:pPr>
      <w:r>
        <w:t>Örnek Uygulama</w:t>
      </w:r>
    </w:p>
    <w:p w:rsidR="00B653E1" w:rsidRDefault="00BB530D">
      <w:r>
        <w:rPr>
          <w:b/>
        </w:rPr>
        <w:t>Kendi IP'nizi Kontrol Edin:</w:t>
      </w:r>
      <w:r>
        <w:br/>
        <w:t xml:space="preserve">1. </w:t>
      </w:r>
      <w:r>
        <w:rPr>
          <w:rFonts w:ascii="Courier New" w:hAnsi="Courier New"/>
        </w:rPr>
        <w:t>ipconfig /all</w:t>
      </w:r>
      <w:r>
        <w:t xml:space="preserve"> (Windows) veya </w:t>
      </w:r>
      <w:r>
        <w:rPr>
          <w:rFonts w:ascii="Courier New" w:hAnsi="Courier New"/>
        </w:rPr>
        <w:t>ifconfig</w:t>
      </w:r>
      <w:r>
        <w:t xml:space="preserve"> (Mac/</w:t>
      </w:r>
      <w:r>
        <w:t>Linux) yazın</w:t>
      </w:r>
      <w:r>
        <w:br/>
        <w:t>2. "DHCP Enabled: Yes" görüyorsanız IP'niz otomatik atanmış demektir</w:t>
      </w:r>
      <w:r>
        <w:br/>
        <w:t>3. 169.254 ile başlıyorsa APIPA modundasınız</w:t>
      </w:r>
    </w:p>
    <w:p w:rsidR="00B653E1" w:rsidRDefault="00BB530D">
      <w:pPr>
        <w:pStyle w:val="AralkYok"/>
      </w:pPr>
      <w:r>
        <w:rPr>
          <w:rFonts w:ascii="Courier New" w:hAnsi="Courier New"/>
          <w:sz w:val="15"/>
        </w:rPr>
        <w:t>ipconfig /all</w:t>
      </w:r>
    </w:p>
    <w:p w:rsidR="00B653E1" w:rsidRDefault="00BB530D">
      <w:pPr>
        <w:pStyle w:val="AralkYok"/>
      </w:pPr>
      <w:r>
        <w:rPr>
          <w:rFonts w:ascii="Courier New" w:hAnsi="Courier New"/>
          <w:sz w:val="15"/>
        </w:rPr>
        <w:t>ifconfig</w:t>
      </w:r>
    </w:p>
    <w:p w:rsidR="00B653E1" w:rsidRDefault="00BB530D">
      <w:pPr>
        <w:pStyle w:val="Balk2"/>
      </w:pPr>
      <w:r>
        <w:t>Kapanış</w:t>
      </w:r>
    </w:p>
    <w:p w:rsidR="00B653E1" w:rsidRDefault="00BB530D">
      <w:r>
        <w:t>DHCP sayesinde kafelerde, okullarda cihazlarınız otomatik internete bağlanabilir. Bir dahaki sefer</w:t>
      </w:r>
      <w:r>
        <w:t>e WiFi'ye bağlanırken bu sessiz kahramanı hatırlayın!</w:t>
      </w:r>
      <w:r>
        <w:br/>
        <w:t xml:space="preserve">sibertim.com </w:t>
      </w:r>
    </w:p>
    <w:sectPr w:rsidR="00B653E1" w:rsidSect="00C004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EC83994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53E1"/>
    <w:rsid w:val="00BB530D"/>
    <w:rsid w:val="00C004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43E41"/>
  <w14:defaultImageDpi w14:val="300"/>
  <w15:docId w15:val="{2798630B-C47F-4938-BBDD-5EC953FA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29ADF-A25D-4B17-870D-24BFAD26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2025-07-24T11:42:00Z</dcterms:modified>
  <cp:category/>
</cp:coreProperties>
</file>