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rFonts w:ascii="Spectral" w:cs="Spectral" w:eastAsia="Spectral" w:hAnsi="Spectral"/>
          <w:b w:val="1"/>
          <w:sz w:val="30"/>
          <w:szCs w:val="30"/>
          <w:u w:val="single"/>
        </w:rPr>
      </w:pPr>
      <w:r w:rsidDel="00000000" w:rsidR="00000000" w:rsidRPr="00000000">
        <w:rPr>
          <w:rFonts w:ascii="Spectral" w:cs="Spectral" w:eastAsia="Spectral" w:hAnsi="Spectral"/>
          <w:b w:val="1"/>
          <w:sz w:val="30"/>
          <w:szCs w:val="30"/>
          <w:u w:val="single"/>
          <w:rtl w:val="0"/>
        </w:rPr>
        <w:t xml:space="preserve">How reliable is Pythagorean Expectation to predict the result of the 2023/24 EFL Soccer Championship?</w:t>
      </w:r>
    </w:p>
    <w:p w:rsidR="00000000" w:rsidDel="00000000" w:rsidP="00000000" w:rsidRDefault="00000000" w:rsidRPr="00000000" w14:paraId="00000002">
      <w:pPr>
        <w:ind w:left="0" w:firstLine="0"/>
        <w:jc w:val="left"/>
        <w:rPr>
          <w:rFonts w:ascii="Spectral" w:cs="Spectral" w:eastAsia="Spectral" w:hAnsi="Spectral"/>
          <w:b w:val="1"/>
          <w:sz w:val="30"/>
          <w:szCs w:val="30"/>
          <w:u w:val="single"/>
        </w:rPr>
      </w:pPr>
      <w:r w:rsidDel="00000000" w:rsidR="00000000" w:rsidRPr="00000000">
        <w:rPr>
          <w:rtl w:val="0"/>
        </w:rPr>
      </w:r>
    </w:p>
    <w:p w:rsidR="00000000" w:rsidDel="00000000" w:rsidP="00000000" w:rsidRDefault="00000000" w:rsidRPr="00000000" w14:paraId="00000003">
      <w:pPr>
        <w:rPr>
          <w:rFonts w:ascii="Spectral" w:cs="Spectral" w:eastAsia="Spectral" w:hAnsi="Spectral"/>
          <w:sz w:val="28"/>
          <w:szCs w:val="28"/>
        </w:rPr>
      </w:pPr>
      <w:r w:rsidDel="00000000" w:rsidR="00000000" w:rsidRPr="00000000">
        <w:rPr>
          <w:rFonts w:ascii="Spectral" w:cs="Spectral" w:eastAsia="Spectral" w:hAnsi="Spectral"/>
          <w:b w:val="1"/>
          <w:sz w:val="26"/>
          <w:szCs w:val="26"/>
          <w:u w:val="single"/>
          <w:rtl w:val="0"/>
        </w:rPr>
        <w:t xml:space="preserve">Introduction</w:t>
      </w:r>
      <w:r w:rsidDel="00000000" w:rsidR="00000000" w:rsidRPr="00000000">
        <w:rPr>
          <w:rtl w:val="0"/>
        </w:rPr>
      </w:r>
    </w:p>
    <w:p w:rsidR="00000000" w:rsidDel="00000000" w:rsidP="00000000" w:rsidRDefault="00000000" w:rsidRPr="00000000" w14:paraId="00000004">
      <w:pP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As the impact of data analytics in sports, soccer in specific, continues to increase at an exponential rate, predictive models are constantly evolving to provide insights into team performance and outcomes. The focus of this study is to apply a well-grounded analysis of the data in hand using a method called the Pythagorean Expectation, borrowed from a fellow sport, baseball. The model aims to predict the result of the 2023/24 EFL Championship after verifying the reliability of the process using data from previous seasons.</w:t>
      </w:r>
    </w:p>
    <w:p w:rsidR="00000000" w:rsidDel="00000000" w:rsidP="00000000" w:rsidRDefault="00000000" w:rsidRPr="00000000" w14:paraId="00000005">
      <w:pPr>
        <w:rPr>
          <w:rFonts w:ascii="Spectral" w:cs="Spectral" w:eastAsia="Spectral" w:hAnsi="Spectral"/>
        </w:rPr>
      </w:pPr>
      <w:r w:rsidDel="00000000" w:rsidR="00000000" w:rsidRPr="00000000">
        <w:rPr>
          <w:rtl w:val="0"/>
        </w:rPr>
      </w:r>
    </w:p>
    <w:p w:rsidR="00000000" w:rsidDel="00000000" w:rsidP="00000000" w:rsidRDefault="00000000" w:rsidRPr="00000000" w14:paraId="00000006">
      <w:pPr>
        <w:rPr>
          <w:rFonts w:ascii="Spectral" w:cs="Spectral" w:eastAsia="Spectral" w:hAnsi="Spectral"/>
          <w:b w:val="1"/>
          <w:sz w:val="26"/>
          <w:szCs w:val="26"/>
          <w:u w:val="single"/>
        </w:rPr>
      </w:pPr>
      <w:r w:rsidDel="00000000" w:rsidR="00000000" w:rsidRPr="00000000">
        <w:rPr>
          <w:rFonts w:ascii="Spectral" w:cs="Spectral" w:eastAsia="Spectral" w:hAnsi="Spectral"/>
          <w:b w:val="1"/>
          <w:sz w:val="26"/>
          <w:szCs w:val="26"/>
          <w:u w:val="single"/>
          <w:rtl w:val="0"/>
        </w:rPr>
        <w:t xml:space="preserve">Pythagorean Expectation Explained</w:t>
      </w:r>
    </w:p>
    <w:p w:rsidR="00000000" w:rsidDel="00000000" w:rsidP="00000000" w:rsidRDefault="00000000" w:rsidRPr="00000000" w14:paraId="00000007">
      <w:pP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Pythagorean Expectation is the formula that is used to estimate the number of games a team should win based on the number of runs they’ve scored and the number of runs they’ve conceded. The formula was developed by renowned baseball statistician Bill James, one of the pioneers of sports analytics.</w:t>
      </w:r>
    </w:p>
    <w:p w:rsidR="00000000" w:rsidDel="00000000" w:rsidP="00000000" w:rsidRDefault="00000000" w:rsidRPr="00000000" w14:paraId="00000008">
      <w:pPr>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09">
      <w:pPr>
        <w:jc w:val="center"/>
        <w:rPr>
          <w:rFonts w:ascii="Spectral" w:cs="Spectral" w:eastAsia="Spectral" w:hAnsi="Spectral"/>
          <w:sz w:val="26"/>
          <w:szCs w:val="26"/>
        </w:rPr>
      </w:pPr>
      <m:oMath>
        <m:r>
          <w:rPr>
            <w:rFonts w:ascii="Spectral" w:cs="Spectral" w:eastAsia="Spectral" w:hAnsi="Spectral"/>
            <w:sz w:val="26"/>
            <w:szCs w:val="26"/>
          </w:rPr>
          <m:t xml:space="preserve">(Runs Score</m:t>
        </m:r>
        <m:sSup>
          <m:sSupPr>
            <m:ctrlPr>
              <w:rPr>
                <w:rFonts w:ascii="Spectral" w:cs="Spectral" w:eastAsia="Spectral" w:hAnsi="Spectral"/>
                <w:sz w:val="26"/>
                <w:szCs w:val="26"/>
              </w:rPr>
            </m:ctrlPr>
          </m:sSupPr>
          <m:e>
            <m:r>
              <w:rPr>
                <w:rFonts w:ascii="Spectral" w:cs="Spectral" w:eastAsia="Spectral" w:hAnsi="Spectral"/>
                <w:sz w:val="26"/>
                <w:szCs w:val="26"/>
              </w:rPr>
              <m:t xml:space="preserve">d</m:t>
            </m:r>
          </m:e>
          <m:sup>
            <m:r>
              <w:rPr>
                <w:rFonts w:ascii="Spectral" w:cs="Spectral" w:eastAsia="Spectral" w:hAnsi="Spectral"/>
                <w:sz w:val="26"/>
                <w:szCs w:val="26"/>
              </w:rPr>
              <m:t xml:space="preserve">2</m:t>
            </m:r>
          </m:sup>
        </m:sSup>
        <m:r>
          <w:rPr>
            <w:rFonts w:ascii="Spectral" w:cs="Spectral" w:eastAsia="Spectral" w:hAnsi="Spectral"/>
            <w:sz w:val="26"/>
            <w:szCs w:val="26"/>
          </w:rPr>
          <m:t xml:space="preserve">) / (Runs Score</m:t>
        </m:r>
        <m:sSup>
          <m:sSupPr>
            <m:ctrlPr>
              <w:rPr>
                <w:rFonts w:ascii="Spectral" w:cs="Spectral" w:eastAsia="Spectral" w:hAnsi="Spectral"/>
                <w:sz w:val="26"/>
                <w:szCs w:val="26"/>
              </w:rPr>
            </m:ctrlPr>
          </m:sSupPr>
          <m:e>
            <m:r>
              <w:rPr>
                <w:rFonts w:ascii="Spectral" w:cs="Spectral" w:eastAsia="Spectral" w:hAnsi="Spectral"/>
                <w:sz w:val="26"/>
                <w:szCs w:val="26"/>
              </w:rPr>
              <m:t xml:space="preserve">d</m:t>
            </m:r>
          </m:e>
          <m:sup>
            <m:r>
              <w:rPr>
                <w:rFonts w:ascii="Spectral" w:cs="Spectral" w:eastAsia="Spectral" w:hAnsi="Spectral"/>
                <w:sz w:val="26"/>
                <w:szCs w:val="26"/>
              </w:rPr>
              <m:t xml:space="preserve">2</m:t>
            </m:r>
          </m:sup>
        </m:sSup>
        <m:r>
          <w:rPr>
            <w:rFonts w:ascii="Spectral" w:cs="Spectral" w:eastAsia="Spectral" w:hAnsi="Spectral"/>
            <w:sz w:val="26"/>
            <w:szCs w:val="26"/>
          </w:rPr>
          <m:t xml:space="preserve">+Runs Allowe</m:t>
        </m:r>
        <m:sSup>
          <m:sSupPr>
            <m:ctrlPr>
              <w:rPr>
                <w:rFonts w:ascii="Spectral" w:cs="Spectral" w:eastAsia="Spectral" w:hAnsi="Spectral"/>
                <w:sz w:val="26"/>
                <w:szCs w:val="26"/>
              </w:rPr>
            </m:ctrlPr>
          </m:sSupPr>
          <m:e>
            <m:r>
              <w:rPr>
                <w:rFonts w:ascii="Spectral" w:cs="Spectral" w:eastAsia="Spectral" w:hAnsi="Spectral"/>
                <w:sz w:val="26"/>
                <w:szCs w:val="26"/>
              </w:rPr>
              <m:t xml:space="preserve">d</m:t>
            </m:r>
          </m:e>
          <m:sup>
            <m:r>
              <w:rPr>
                <w:rFonts w:ascii="Spectral" w:cs="Spectral" w:eastAsia="Spectral" w:hAnsi="Spectral"/>
                <w:sz w:val="26"/>
                <w:szCs w:val="26"/>
              </w:rPr>
              <m:t xml:space="preserve">2</m:t>
            </m:r>
          </m:sup>
        </m:sSup>
        <m:r>
          <w:rPr>
            <w:rFonts w:ascii="Spectral" w:cs="Spectral" w:eastAsia="Spectral" w:hAnsi="Spectral"/>
            <w:sz w:val="26"/>
            <w:szCs w:val="26"/>
          </w:rPr>
          <m:t xml:space="preserve">)</m:t>
        </m:r>
      </m:oMath>
      <w:r w:rsidDel="00000000" w:rsidR="00000000" w:rsidRPr="00000000">
        <w:rPr>
          <w:rtl w:val="0"/>
        </w:rPr>
      </w:r>
    </w:p>
    <w:p w:rsidR="00000000" w:rsidDel="00000000" w:rsidP="00000000" w:rsidRDefault="00000000" w:rsidRPr="00000000" w14:paraId="0000000A">
      <w:pPr>
        <w:jc w:val="center"/>
        <w:rPr>
          <w:rFonts w:ascii="Spectral" w:cs="Spectral" w:eastAsia="Spectral" w:hAnsi="Spectral"/>
          <w:sz w:val="26"/>
          <w:szCs w:val="26"/>
        </w:rPr>
      </w:pPr>
      <w:r w:rsidDel="00000000" w:rsidR="00000000" w:rsidRPr="00000000">
        <w:rPr>
          <w:rtl w:val="0"/>
        </w:rPr>
      </w:r>
    </w:p>
    <w:p w:rsidR="00000000" w:rsidDel="00000000" w:rsidP="00000000" w:rsidRDefault="00000000" w:rsidRPr="00000000" w14:paraId="0000000B">
      <w:pPr>
        <w:rPr>
          <w:rFonts w:ascii="Spectral" w:cs="Spectral" w:eastAsia="Spectral" w:hAnsi="Spectral"/>
          <w:color w:val="1f1f1f"/>
          <w:sz w:val="24"/>
          <w:szCs w:val="24"/>
        </w:rPr>
      </w:pPr>
      <w:r w:rsidDel="00000000" w:rsidR="00000000" w:rsidRPr="00000000">
        <w:rPr>
          <w:rFonts w:ascii="Spectral" w:cs="Spectral" w:eastAsia="Spectral" w:hAnsi="Spectral"/>
          <w:color w:val="1f1f1f"/>
          <w:sz w:val="24"/>
          <w:szCs w:val="24"/>
          <w:rtl w:val="0"/>
        </w:rPr>
        <w:t xml:space="preserve">Applying it to soccer will be relatively different since it’s a low-scoring game and has a lesser number of games per season, thus forming a comparatively smaller dataset. Below is the formula for Pythagorean Expectation modified for soccer:</w:t>
      </w:r>
    </w:p>
    <w:p w:rsidR="00000000" w:rsidDel="00000000" w:rsidP="00000000" w:rsidRDefault="00000000" w:rsidRPr="00000000" w14:paraId="0000000C">
      <w:pPr>
        <w:rPr>
          <w:rFonts w:ascii="Spectral" w:cs="Spectral" w:eastAsia="Spectral" w:hAnsi="Spectral"/>
          <w:color w:val="1f1f1f"/>
          <w:sz w:val="24"/>
          <w:szCs w:val="24"/>
        </w:rPr>
      </w:pPr>
      <w:r w:rsidDel="00000000" w:rsidR="00000000" w:rsidRPr="00000000">
        <w:rPr>
          <w:rtl w:val="0"/>
        </w:rPr>
      </w:r>
    </w:p>
    <w:p w:rsidR="00000000" w:rsidDel="00000000" w:rsidP="00000000" w:rsidRDefault="00000000" w:rsidRPr="00000000" w14:paraId="0000000D">
      <w:pPr>
        <w:jc w:val="center"/>
        <w:rPr>
          <w:rFonts w:ascii="Spectral" w:cs="Spectral" w:eastAsia="Spectral" w:hAnsi="Spectral"/>
          <w:sz w:val="26"/>
          <w:szCs w:val="26"/>
        </w:rPr>
      </w:pPr>
      <m:oMath>
        <m:r>
          <w:rPr>
            <w:rFonts w:ascii="Spectral" w:cs="Spectral" w:eastAsia="Spectral" w:hAnsi="Spectral"/>
            <w:sz w:val="26"/>
            <w:szCs w:val="26"/>
          </w:rPr>
          <m:t xml:space="preserve">(Goals Score</m:t>
        </m:r>
        <m:sSup>
          <m:sSupPr>
            <m:ctrlPr>
              <w:rPr>
                <w:rFonts w:ascii="Spectral" w:cs="Spectral" w:eastAsia="Spectral" w:hAnsi="Spectral"/>
                <w:sz w:val="26"/>
                <w:szCs w:val="26"/>
              </w:rPr>
            </m:ctrlPr>
          </m:sSupPr>
          <m:e>
            <m:r>
              <w:rPr>
                <w:rFonts w:ascii="Spectral" w:cs="Spectral" w:eastAsia="Spectral" w:hAnsi="Spectral"/>
                <w:sz w:val="26"/>
                <w:szCs w:val="26"/>
              </w:rPr>
              <m:t xml:space="preserve">d</m:t>
            </m:r>
          </m:e>
          <m:sup>
            <m:r>
              <w:rPr>
                <w:rFonts w:ascii="Spectral" w:cs="Spectral" w:eastAsia="Spectral" w:hAnsi="Spectral"/>
                <w:sz w:val="26"/>
                <w:szCs w:val="26"/>
              </w:rPr>
              <m:t xml:space="preserve">2</m:t>
            </m:r>
          </m:sup>
        </m:sSup>
        <m:r>
          <w:rPr>
            <w:rFonts w:ascii="Spectral" w:cs="Spectral" w:eastAsia="Spectral" w:hAnsi="Spectral"/>
            <w:sz w:val="26"/>
            <w:szCs w:val="26"/>
          </w:rPr>
          <m:t xml:space="preserve">) / (Goals Score</m:t>
        </m:r>
        <m:sSup>
          <m:sSupPr>
            <m:ctrlPr>
              <w:rPr>
                <w:rFonts w:ascii="Spectral" w:cs="Spectral" w:eastAsia="Spectral" w:hAnsi="Spectral"/>
                <w:sz w:val="26"/>
                <w:szCs w:val="26"/>
              </w:rPr>
            </m:ctrlPr>
          </m:sSupPr>
          <m:e>
            <m:r>
              <w:rPr>
                <w:rFonts w:ascii="Spectral" w:cs="Spectral" w:eastAsia="Spectral" w:hAnsi="Spectral"/>
                <w:sz w:val="26"/>
                <w:szCs w:val="26"/>
              </w:rPr>
              <m:t xml:space="preserve">d</m:t>
            </m:r>
          </m:e>
          <m:sup>
            <m:r>
              <w:rPr>
                <w:rFonts w:ascii="Spectral" w:cs="Spectral" w:eastAsia="Spectral" w:hAnsi="Spectral"/>
                <w:sz w:val="26"/>
                <w:szCs w:val="26"/>
              </w:rPr>
              <m:t xml:space="preserve">2</m:t>
            </m:r>
          </m:sup>
        </m:sSup>
        <m:r>
          <w:rPr>
            <w:rFonts w:ascii="Spectral" w:cs="Spectral" w:eastAsia="Spectral" w:hAnsi="Spectral"/>
            <w:sz w:val="26"/>
            <w:szCs w:val="26"/>
          </w:rPr>
          <m:t xml:space="preserve">+Goals Concede</m:t>
        </m:r>
        <m:sSup>
          <m:sSupPr>
            <m:ctrlPr>
              <w:rPr>
                <w:rFonts w:ascii="Spectral" w:cs="Spectral" w:eastAsia="Spectral" w:hAnsi="Spectral"/>
                <w:sz w:val="26"/>
                <w:szCs w:val="26"/>
              </w:rPr>
            </m:ctrlPr>
          </m:sSupPr>
          <m:e>
            <m:r>
              <w:rPr>
                <w:rFonts w:ascii="Spectral" w:cs="Spectral" w:eastAsia="Spectral" w:hAnsi="Spectral"/>
                <w:sz w:val="26"/>
                <w:szCs w:val="26"/>
              </w:rPr>
              <m:t xml:space="preserve">d</m:t>
            </m:r>
          </m:e>
          <m:sup>
            <m:r>
              <w:rPr>
                <w:rFonts w:ascii="Spectral" w:cs="Spectral" w:eastAsia="Spectral" w:hAnsi="Spectral"/>
                <w:sz w:val="26"/>
                <w:szCs w:val="26"/>
              </w:rPr>
              <m:t xml:space="preserve">2</m:t>
            </m:r>
          </m:sup>
        </m:sSup>
        <m:r>
          <w:rPr>
            <w:rFonts w:ascii="Spectral" w:cs="Spectral" w:eastAsia="Spectral" w:hAnsi="Spectral"/>
            <w:sz w:val="26"/>
            <w:szCs w:val="26"/>
          </w:rPr>
          <m:t xml:space="preserve">)</m:t>
        </m:r>
      </m:oMath>
      <w:r w:rsidDel="00000000" w:rsidR="00000000" w:rsidRPr="00000000">
        <w:rPr>
          <w:rtl w:val="0"/>
        </w:rPr>
      </w:r>
    </w:p>
    <w:p w:rsidR="00000000" w:rsidDel="00000000" w:rsidP="00000000" w:rsidRDefault="00000000" w:rsidRPr="00000000" w14:paraId="0000000E">
      <w:pPr>
        <w:jc w:val="left"/>
        <w:rPr>
          <w:rFonts w:ascii="Spectral" w:cs="Spectral" w:eastAsia="Spectral" w:hAnsi="Spectral"/>
          <w:sz w:val="26"/>
          <w:szCs w:val="26"/>
        </w:rPr>
      </w:pPr>
      <w:r w:rsidDel="00000000" w:rsidR="00000000" w:rsidRPr="00000000">
        <w:rPr>
          <w:rtl w:val="0"/>
        </w:rPr>
      </w:r>
    </w:p>
    <w:p w:rsidR="00000000" w:rsidDel="00000000" w:rsidP="00000000" w:rsidRDefault="00000000" w:rsidRPr="00000000" w14:paraId="0000000F">
      <w:pPr>
        <w:rPr>
          <w:rFonts w:ascii="Spectral" w:cs="Spectral" w:eastAsia="Spectral" w:hAnsi="Spectral"/>
          <w:b w:val="1"/>
          <w:sz w:val="26"/>
          <w:szCs w:val="26"/>
          <w:u w:val="single"/>
        </w:rPr>
      </w:pPr>
      <w:r w:rsidDel="00000000" w:rsidR="00000000" w:rsidRPr="00000000">
        <w:rPr>
          <w:rFonts w:ascii="Spectral" w:cs="Spectral" w:eastAsia="Spectral" w:hAnsi="Spectral"/>
          <w:b w:val="1"/>
          <w:sz w:val="26"/>
          <w:szCs w:val="26"/>
          <w:u w:val="single"/>
          <w:rtl w:val="0"/>
        </w:rPr>
        <w:t xml:space="preserve">A bit about the EFL Soccer Championship</w:t>
      </w:r>
    </w:p>
    <w:p w:rsidR="00000000" w:rsidDel="00000000" w:rsidP="00000000" w:rsidRDefault="00000000" w:rsidRPr="00000000" w14:paraId="00000010">
      <w:pP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EFL Championship is England's second-tier soccer league, featuring 23 teams competing in a 46-match season spanning over a year. It is renowned for its tight races, competitiveness and dramatic finishes (“Here’s Hogg… DEENEY!”). The top two finishers of the league are directly promoted to the Premier League, England’s first-tier soccer league, while there’s a playoff for the third spot between the following four teams. The bottom three teams are relegated to League One, England’s third-tier soccer league.</w:t>
      </w:r>
    </w:p>
    <w:p w:rsidR="00000000" w:rsidDel="00000000" w:rsidP="00000000" w:rsidRDefault="00000000" w:rsidRPr="00000000" w14:paraId="00000011">
      <w:pPr>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12">
      <w:pPr>
        <w:rPr>
          <w:rFonts w:ascii="Spectral" w:cs="Spectral" w:eastAsia="Spectral" w:hAnsi="Spectral"/>
          <w:b w:val="1"/>
          <w:sz w:val="26"/>
          <w:szCs w:val="26"/>
          <w:u w:val="single"/>
        </w:rPr>
      </w:pPr>
      <w:r w:rsidDel="00000000" w:rsidR="00000000" w:rsidRPr="00000000">
        <w:rPr>
          <w:rFonts w:ascii="Spectral" w:cs="Spectral" w:eastAsia="Spectral" w:hAnsi="Spectral"/>
          <w:b w:val="1"/>
          <w:sz w:val="26"/>
          <w:szCs w:val="26"/>
          <w:u w:val="single"/>
          <w:rtl w:val="0"/>
        </w:rPr>
        <w:t xml:space="preserve">Data Collection and Cleaning</w:t>
      </w:r>
    </w:p>
    <w:p w:rsidR="00000000" w:rsidDel="00000000" w:rsidP="00000000" w:rsidRDefault="00000000" w:rsidRPr="00000000" w14:paraId="00000013">
      <w:pP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dataset consisted of the matches played by each of the 23 teams from each of the past five EFL Championship seasons, that is, from 2019/20 to 2023/24. The last entry of the matches played in the 2023/24 season was on January 22, 2024 which makes it 28 games played per team. The cleaning process involved filtering out required attributes for analysis, modifying filtered attributes and adding necessary attributes. </w:t>
      </w:r>
    </w:p>
    <w:p w:rsidR="00000000" w:rsidDel="00000000" w:rsidP="00000000" w:rsidRDefault="00000000" w:rsidRPr="00000000" w14:paraId="00000014">
      <w:pPr>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15">
      <w:pP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Finally, before beginning the analysis process, the dataset was split based on the season the set of games belonged to, based on the game date. An example of the state of the data at this stage is shown below from season 2019/20:</w:t>
      </w:r>
    </w:p>
    <w:p w:rsidR="00000000" w:rsidDel="00000000" w:rsidP="00000000" w:rsidRDefault="00000000" w:rsidRPr="00000000" w14:paraId="00000016">
      <w:pPr>
        <w:rPr>
          <w:rFonts w:ascii="Spectral" w:cs="Spectral" w:eastAsia="Spectral" w:hAnsi="Spectral"/>
          <w:b w:val="1"/>
          <w:sz w:val="26"/>
          <w:szCs w:val="26"/>
          <w:u w:val="single"/>
        </w:rPr>
      </w:pPr>
      <w:r w:rsidDel="00000000" w:rsidR="00000000" w:rsidRPr="00000000">
        <w:rPr>
          <w:rFonts w:ascii="Spectral" w:cs="Spectral" w:eastAsia="Spectral" w:hAnsi="Spectral"/>
          <w:b w:val="1"/>
          <w:sz w:val="26"/>
          <w:szCs w:val="26"/>
          <w:u w:val="single"/>
        </w:rPr>
        <w:drawing>
          <wp:anchor allowOverlap="1" behindDoc="0" distB="114300" distT="114300" distL="114300" distR="114300" hidden="0" layoutInCell="1" locked="0" relativeHeight="0" simplePos="0">
            <wp:simplePos x="0" y="0"/>
            <wp:positionH relativeFrom="page">
              <wp:posOffset>957792</wp:posOffset>
            </wp:positionH>
            <wp:positionV relativeFrom="page">
              <wp:posOffset>5298017</wp:posOffset>
            </wp:positionV>
            <wp:extent cx="5953125" cy="2614083"/>
            <wp:effectExtent b="12700" l="12700" r="12700" t="1270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6"/>
                    <a:srcRect b="6441" l="0" r="0" t="0"/>
                    <a:stretch>
                      <a:fillRect/>
                    </a:stretch>
                  </pic:blipFill>
                  <pic:spPr>
                    <a:xfrm>
                      <a:off x="0" y="0"/>
                      <a:ext cx="5953125" cy="2614083"/>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17">
      <w:pPr>
        <w:rPr>
          <w:rFonts w:ascii="Spectral" w:cs="Spectral" w:eastAsia="Spectral" w:hAnsi="Spectral"/>
          <w:b w:val="1"/>
          <w:sz w:val="26"/>
          <w:szCs w:val="26"/>
        </w:rPr>
      </w:pPr>
      <w:r w:rsidDel="00000000" w:rsidR="00000000" w:rsidRPr="00000000">
        <w:rPr>
          <w:rFonts w:ascii="Spectral" w:cs="Spectral" w:eastAsia="Spectral" w:hAnsi="Spectral"/>
          <w:b w:val="1"/>
          <w:sz w:val="26"/>
          <w:szCs w:val="26"/>
          <w:u w:val="single"/>
          <w:rtl w:val="0"/>
        </w:rPr>
        <w:t xml:space="preserve">Data Transformation and Analysis</w:t>
      </w:r>
      <w:r w:rsidDel="00000000" w:rsidR="00000000" w:rsidRPr="00000000">
        <w:rPr>
          <w:rtl w:val="0"/>
        </w:rPr>
      </w:r>
    </w:p>
    <w:p w:rsidR="00000000" w:rsidDel="00000000" w:rsidP="00000000" w:rsidRDefault="00000000" w:rsidRPr="00000000" w14:paraId="00000018">
      <w:pP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This step involved transforming the match-by-match data for each season into a table format for better readability and interpretation. It also led to finding some unseen errors in the analysis process, which had to be accounted for before moving on to further data mungling. An example of the 2020/21 season’s match-by-match data </w:t>
      </w:r>
      <w:r w:rsidDel="00000000" w:rsidR="00000000" w:rsidRPr="00000000">
        <w:rPr>
          <w:rFonts w:ascii="Spectral" w:cs="Spectral" w:eastAsia="Spectral" w:hAnsi="Spectral"/>
          <w:sz w:val="24"/>
          <w:szCs w:val="24"/>
        </w:rPr>
        <w:drawing>
          <wp:anchor allowOverlap="1" behindDoc="0" distB="114300" distT="114300" distL="114300" distR="114300" hidden="0" layoutInCell="1" locked="0" relativeHeight="0" simplePos="0">
            <wp:simplePos x="0" y="0"/>
            <wp:positionH relativeFrom="page">
              <wp:posOffset>944033</wp:posOffset>
            </wp:positionH>
            <wp:positionV relativeFrom="page">
              <wp:posOffset>1822450</wp:posOffset>
            </wp:positionV>
            <wp:extent cx="5981700" cy="7122583"/>
            <wp:effectExtent b="12700" l="12700" r="12700" t="12700"/>
            <wp:wrapSquare wrapText="bothSides" distB="114300" distT="114300" distL="114300" distR="11430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81700" cy="7122583"/>
                    </a:xfrm>
                    <a:prstGeom prst="rect"/>
                    <a:ln w="12700">
                      <a:solidFill>
                        <a:srgbClr val="000000"/>
                      </a:solidFill>
                      <a:prstDash val="solid"/>
                    </a:ln>
                  </pic:spPr>
                </pic:pic>
              </a:graphicData>
            </a:graphic>
          </wp:anchor>
        </w:drawing>
      </w:r>
      <w:r w:rsidDel="00000000" w:rsidR="00000000" w:rsidRPr="00000000">
        <w:rPr>
          <w:rFonts w:ascii="Spectral" w:cs="Spectral" w:eastAsia="Spectral" w:hAnsi="Spectral"/>
          <w:sz w:val="24"/>
          <w:szCs w:val="24"/>
          <w:rtl w:val="0"/>
        </w:rPr>
        <w:t xml:space="preserve">transformed to a table-format is shown below:</w:t>
      </w:r>
    </w:p>
    <w:p w:rsidR="00000000" w:rsidDel="00000000" w:rsidP="00000000" w:rsidRDefault="00000000" w:rsidRPr="00000000" w14:paraId="00000019">
      <w:pPr>
        <w:rPr>
          <w:rFonts w:ascii="Spectral" w:cs="Spectral" w:eastAsia="Spectral" w:hAnsi="Spectral"/>
          <w:b w:val="1"/>
          <w:sz w:val="26"/>
          <w:szCs w:val="26"/>
        </w:rPr>
      </w:pPr>
      <w:r w:rsidDel="00000000" w:rsidR="00000000" w:rsidRPr="00000000">
        <w:rPr>
          <w:rFonts w:ascii="Spectral" w:cs="Spectral" w:eastAsia="Spectral" w:hAnsi="Spectral"/>
          <w:b w:val="1"/>
          <w:sz w:val="26"/>
          <w:szCs w:val="26"/>
          <w:u w:val="single"/>
          <w:rtl w:val="0"/>
        </w:rPr>
        <w:t xml:space="preserve">Proof of reliability of Pythagorean Expectation from the past four seasons (2019/20 to 2022/23)</w:t>
      </w:r>
      <w:r w:rsidDel="00000000" w:rsidR="00000000" w:rsidRPr="00000000">
        <w:rPr>
          <w:rtl w:val="0"/>
        </w:rPr>
      </w:r>
    </w:p>
    <w:p w:rsidR="00000000" w:rsidDel="00000000" w:rsidP="00000000" w:rsidRDefault="00000000" w:rsidRPr="00000000" w14:paraId="0000001A">
      <w:pP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reliability of Pythagorean Expectation as a predictor of the result of the 2023/24 season can be seen in the regression and correlation analysis results from the previous seasons. The graphs and regression results for those seasons are shown below:</w:t>
      </w:r>
      <w:r w:rsidDel="00000000" w:rsidR="00000000" w:rsidRPr="00000000">
        <w:rPr>
          <w:rFonts w:ascii="Spectral" w:cs="Spectral" w:eastAsia="Spectral" w:hAnsi="Spectral"/>
          <w:sz w:val="24"/>
          <w:szCs w:val="24"/>
        </w:rPr>
        <w:drawing>
          <wp:anchor allowOverlap="1" behindDoc="0" distB="114300" distT="114300" distL="114300" distR="114300" hidden="0" layoutInCell="1" locked="0" relativeHeight="0" simplePos="0">
            <wp:simplePos x="0" y="0"/>
            <wp:positionH relativeFrom="page">
              <wp:posOffset>3567113</wp:posOffset>
            </wp:positionH>
            <wp:positionV relativeFrom="page">
              <wp:posOffset>5049308</wp:posOffset>
            </wp:positionV>
            <wp:extent cx="3295650" cy="2505075"/>
            <wp:effectExtent b="12700" l="12700" r="12700" t="1270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295650" cy="2505075"/>
                    </a:xfrm>
                    <a:prstGeom prst="rect"/>
                    <a:ln w="12700">
                      <a:solidFill>
                        <a:srgbClr val="000000"/>
                      </a:solidFill>
                      <a:prstDash val="solid"/>
                    </a:ln>
                  </pic:spPr>
                </pic:pic>
              </a:graphicData>
            </a:graphic>
          </wp:anchor>
        </w:drawing>
      </w:r>
      <w:r w:rsidDel="00000000" w:rsidR="00000000" w:rsidRPr="00000000">
        <w:rPr>
          <w:rFonts w:ascii="Spectral" w:cs="Spectral" w:eastAsia="Spectral" w:hAnsi="Spectral"/>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5049308</wp:posOffset>
            </wp:positionV>
            <wp:extent cx="2533650" cy="2505075"/>
            <wp:effectExtent b="12700" l="12700" r="12700" t="1270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9"/>
                    <a:srcRect b="0" l="2255" r="0" t="0"/>
                    <a:stretch>
                      <a:fillRect/>
                    </a:stretch>
                  </pic:blipFill>
                  <pic:spPr>
                    <a:xfrm>
                      <a:off x="0" y="0"/>
                      <a:ext cx="2533650" cy="2505075"/>
                    </a:xfrm>
                    <a:prstGeom prst="rect"/>
                    <a:ln w="12700">
                      <a:solidFill>
                        <a:srgbClr val="000000"/>
                      </a:solidFill>
                      <a:prstDash val="solid"/>
                    </a:ln>
                  </pic:spPr>
                </pic:pic>
              </a:graphicData>
            </a:graphic>
          </wp:anchor>
        </w:drawing>
      </w:r>
      <w:r w:rsidDel="00000000" w:rsidR="00000000" w:rsidRPr="00000000">
        <w:rPr>
          <w:rFonts w:ascii="Spectral" w:cs="Spectral" w:eastAsia="Spectral" w:hAnsi="Spectral"/>
          <w:sz w:val="24"/>
          <w:szCs w:val="24"/>
        </w:rPr>
        <w:drawing>
          <wp:anchor allowOverlap="1" behindDoc="0" distB="114300" distT="114300" distL="114300" distR="114300" hidden="0" layoutInCell="1" locked="0" relativeHeight="0" simplePos="0">
            <wp:simplePos x="0" y="0"/>
            <wp:positionH relativeFrom="page">
              <wp:posOffset>3571875</wp:posOffset>
            </wp:positionH>
            <wp:positionV relativeFrom="page">
              <wp:posOffset>2425799</wp:posOffset>
            </wp:positionV>
            <wp:extent cx="3286125" cy="2486025"/>
            <wp:effectExtent b="12700" l="12700" r="12700" t="1270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286125" cy="2486025"/>
                    </a:xfrm>
                    <a:prstGeom prst="rect"/>
                    <a:ln w="12700">
                      <a:solidFill>
                        <a:srgbClr val="000000"/>
                      </a:solidFill>
                      <a:prstDash val="solid"/>
                    </a:ln>
                  </pic:spPr>
                </pic:pic>
              </a:graphicData>
            </a:graphic>
          </wp:anchor>
        </w:drawing>
      </w:r>
      <w:r w:rsidDel="00000000" w:rsidR="00000000" w:rsidRPr="00000000">
        <w:rPr>
          <w:rFonts w:ascii="Spectral" w:cs="Spectral" w:eastAsia="Spectral" w:hAnsi="Spectral"/>
          <w:sz w:val="24"/>
          <w:szCs w:val="24"/>
        </w:rPr>
        <w:drawing>
          <wp:anchor allowOverlap="1" behindDoc="0" distB="114300" distT="114300" distL="114300" distR="114300" hidden="0" layoutInCell="1" locked="0" relativeHeight="0" simplePos="0">
            <wp:simplePos x="0" y="0"/>
            <wp:positionH relativeFrom="page">
              <wp:posOffset>923925</wp:posOffset>
            </wp:positionH>
            <wp:positionV relativeFrom="page">
              <wp:posOffset>2425799</wp:posOffset>
            </wp:positionV>
            <wp:extent cx="2514600" cy="2474813"/>
            <wp:effectExtent b="12700" l="12700" r="12700" t="1270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514600" cy="2474813"/>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1B">
      <w:pPr>
        <w:rPr>
          <w:rFonts w:ascii="Spectral" w:cs="Spectral" w:eastAsia="Spectral" w:hAnsi="Spectral"/>
          <w:b w:val="1"/>
          <w:sz w:val="26"/>
          <w:szCs w:val="26"/>
          <w:u w:val="single"/>
        </w:rPr>
      </w:pPr>
      <w:r w:rsidDel="00000000" w:rsidR="00000000" w:rsidRPr="00000000">
        <w:rPr>
          <w:rFonts w:ascii="Spectral" w:cs="Spectral" w:eastAsia="Spectral" w:hAnsi="Spectral"/>
          <w:sz w:val="24"/>
          <w:szCs w:val="24"/>
          <w:rtl w:val="0"/>
        </w:rPr>
        <w:t xml:space="preserve">On observation, it can be seen that in the graphs for all four seasons the correlation values between Pythagorean Expectation and Win % (0.949, 0.910, 0.969, 0.915), are above 0.9. Also on observation of the regression results, the coefficient of determination (</w:t>
      </w:r>
      <m:oMath>
        <m:sSup>
          <m:sSupPr>
            <m:ctrlPr>
              <w:rPr>
                <w:rFonts w:ascii="Spectral" w:cs="Spectral" w:eastAsia="Spectral" w:hAnsi="Spectral"/>
                <w:sz w:val="24"/>
                <w:szCs w:val="24"/>
              </w:rPr>
            </m:ctrlPr>
          </m:sSupPr>
          <m:e>
            <m:r>
              <w:rPr>
                <w:rFonts w:ascii="Spectral" w:cs="Spectral" w:eastAsia="Spectral" w:hAnsi="Spectral"/>
                <w:sz w:val="24"/>
                <w:szCs w:val="24"/>
              </w:rPr>
              <m:t xml:space="preserve">R</m:t>
            </m:r>
          </m:e>
          <m:sup>
            <m:r>
              <w:rPr>
                <w:rFonts w:ascii="Spectral" w:cs="Spectral" w:eastAsia="Spectral" w:hAnsi="Spectral"/>
                <w:sz w:val="24"/>
                <w:szCs w:val="24"/>
              </w:rPr>
              <m:t xml:space="preserve">2</m:t>
            </m:r>
          </m:sup>
        </m:sSup>
      </m:oMath>
      <w:r w:rsidDel="00000000" w:rsidR="00000000" w:rsidRPr="00000000">
        <w:rPr>
          <w:rFonts w:ascii="Spectral" w:cs="Spectral" w:eastAsia="Spectral" w:hAnsi="Spectral"/>
          <w:sz w:val="24"/>
          <w:szCs w:val="24"/>
          <w:rtl w:val="0"/>
        </w:rPr>
        <w:t xml:space="preserve">) values are all relatively high, thus signifying that Pythagorean Expectation explains Win % considered over the entire season quite well statistically.</w:t>
      </w:r>
      <w:r w:rsidDel="00000000" w:rsidR="00000000" w:rsidRPr="00000000">
        <w:rPr>
          <w:rtl w:val="0"/>
        </w:rPr>
      </w:r>
    </w:p>
    <w:p w:rsidR="00000000" w:rsidDel="00000000" w:rsidP="00000000" w:rsidRDefault="00000000" w:rsidRPr="00000000" w14:paraId="0000001C">
      <w:pPr>
        <w:rPr>
          <w:rFonts w:ascii="Spectral" w:cs="Spectral" w:eastAsia="Spectral" w:hAnsi="Spectral"/>
          <w:b w:val="1"/>
          <w:sz w:val="26"/>
          <w:szCs w:val="26"/>
          <w:u w:val="single"/>
        </w:rPr>
      </w:pPr>
      <w:r w:rsidDel="00000000" w:rsidR="00000000" w:rsidRPr="00000000">
        <w:rPr>
          <w:rtl w:val="0"/>
        </w:rPr>
      </w:r>
    </w:p>
    <w:p w:rsidR="00000000" w:rsidDel="00000000" w:rsidP="00000000" w:rsidRDefault="00000000" w:rsidRPr="00000000" w14:paraId="0000001D">
      <w:pPr>
        <w:rPr>
          <w:rFonts w:ascii="Spectral" w:cs="Spectral" w:eastAsia="Spectral" w:hAnsi="Spectral"/>
          <w:b w:val="1"/>
          <w:sz w:val="26"/>
          <w:szCs w:val="26"/>
        </w:rPr>
      </w:pPr>
      <w:r w:rsidDel="00000000" w:rsidR="00000000" w:rsidRPr="00000000">
        <w:rPr>
          <w:rFonts w:ascii="Spectral" w:cs="Spectral" w:eastAsia="Spectral" w:hAnsi="Spectral"/>
          <w:b w:val="1"/>
          <w:sz w:val="26"/>
          <w:szCs w:val="26"/>
          <w:u w:val="single"/>
        </w:rPr>
        <w:drawing>
          <wp:anchor allowOverlap="1" behindDoc="0" distB="114300" distT="114300" distL="114300" distR="114300" hidden="0" layoutInCell="1" locked="0" relativeHeight="0" simplePos="0">
            <wp:simplePos x="0" y="0"/>
            <wp:positionH relativeFrom="page">
              <wp:posOffset>3562350</wp:posOffset>
            </wp:positionH>
            <wp:positionV relativeFrom="page">
              <wp:posOffset>3571966</wp:posOffset>
            </wp:positionV>
            <wp:extent cx="3305175" cy="2514600"/>
            <wp:effectExtent b="12700" l="12700" r="12700" t="1270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305175" cy="2514600"/>
                    </a:xfrm>
                    <a:prstGeom prst="rect"/>
                    <a:ln w="12700">
                      <a:solidFill>
                        <a:srgbClr val="000000"/>
                      </a:solidFill>
                      <a:prstDash val="solid"/>
                    </a:ln>
                  </pic:spPr>
                </pic:pic>
              </a:graphicData>
            </a:graphic>
          </wp:anchor>
        </w:drawing>
      </w:r>
      <w:r w:rsidDel="00000000" w:rsidR="00000000" w:rsidRPr="00000000">
        <w:rPr>
          <w:rFonts w:ascii="Spectral" w:cs="Spectral" w:eastAsia="Spectral" w:hAnsi="Spectral"/>
          <w:b w:val="1"/>
          <w:sz w:val="26"/>
          <w:szCs w:val="26"/>
          <w:u w:val="single"/>
        </w:rPr>
        <w:drawing>
          <wp:anchor allowOverlap="1" behindDoc="0" distB="114300" distT="114300" distL="114300" distR="114300" hidden="0" layoutInCell="1" locked="0" relativeHeight="0" simplePos="0">
            <wp:simplePos x="0" y="0"/>
            <wp:positionH relativeFrom="page">
              <wp:posOffset>923925</wp:posOffset>
            </wp:positionH>
            <wp:positionV relativeFrom="page">
              <wp:posOffset>3571966</wp:posOffset>
            </wp:positionV>
            <wp:extent cx="2514600" cy="2514600"/>
            <wp:effectExtent b="12700" l="12700" r="12700" t="1270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514600" cy="2514600"/>
                    </a:xfrm>
                    <a:prstGeom prst="rect"/>
                    <a:ln w="12700">
                      <a:solidFill>
                        <a:srgbClr val="000000"/>
                      </a:solidFill>
                      <a:prstDash val="solid"/>
                    </a:ln>
                  </pic:spPr>
                </pic:pic>
              </a:graphicData>
            </a:graphic>
          </wp:anchor>
        </w:drawing>
      </w:r>
      <w:r w:rsidDel="00000000" w:rsidR="00000000" w:rsidRPr="00000000">
        <w:rPr>
          <w:rFonts w:ascii="Spectral" w:cs="Spectral" w:eastAsia="Spectral" w:hAnsi="Spectral"/>
          <w:b w:val="1"/>
          <w:sz w:val="26"/>
          <w:szCs w:val="26"/>
          <w:u w:val="single"/>
        </w:rPr>
        <w:drawing>
          <wp:anchor allowOverlap="1" behindDoc="0" distB="114300" distT="114300" distL="114300" distR="114300" hidden="0" layoutInCell="1" locked="0" relativeHeight="0" simplePos="0">
            <wp:simplePos x="0" y="0"/>
            <wp:positionH relativeFrom="page">
              <wp:posOffset>3571875</wp:posOffset>
            </wp:positionH>
            <wp:positionV relativeFrom="page">
              <wp:posOffset>928688</wp:posOffset>
            </wp:positionV>
            <wp:extent cx="3286125" cy="2495550"/>
            <wp:effectExtent b="12700" l="12700" r="12700" t="1270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286125" cy="2495550"/>
                    </a:xfrm>
                    <a:prstGeom prst="rect"/>
                    <a:ln w="12700">
                      <a:solidFill>
                        <a:srgbClr val="000000"/>
                      </a:solidFill>
                      <a:prstDash val="solid"/>
                    </a:ln>
                  </pic:spPr>
                </pic:pic>
              </a:graphicData>
            </a:graphic>
          </wp:anchor>
        </w:drawing>
      </w:r>
      <w:r w:rsidDel="00000000" w:rsidR="00000000" w:rsidRPr="00000000">
        <w:rPr>
          <w:rFonts w:ascii="Spectral" w:cs="Spectral" w:eastAsia="Spectral" w:hAnsi="Spectral"/>
          <w:b w:val="1"/>
          <w:sz w:val="26"/>
          <w:szCs w:val="26"/>
          <w:u w:val="single"/>
        </w:rPr>
        <w:drawing>
          <wp:anchor allowOverlap="1" behindDoc="0" distB="114300" distT="114300" distL="114300" distR="114300" hidden="0" layoutInCell="1" locked="0" relativeHeight="0" simplePos="0">
            <wp:simplePos x="0" y="0"/>
            <wp:positionH relativeFrom="page">
              <wp:posOffset>923925</wp:posOffset>
            </wp:positionH>
            <wp:positionV relativeFrom="page">
              <wp:posOffset>923925</wp:posOffset>
            </wp:positionV>
            <wp:extent cx="2514600" cy="2505075"/>
            <wp:effectExtent b="12700" l="12700" r="12700" t="1270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514600" cy="2505075"/>
                    </a:xfrm>
                    <a:prstGeom prst="rect"/>
                    <a:ln w="12700">
                      <a:solidFill>
                        <a:srgbClr val="000000"/>
                      </a:solidFill>
                      <a:prstDash val="solid"/>
                    </a:ln>
                  </pic:spPr>
                </pic:pic>
              </a:graphicData>
            </a:graphic>
          </wp:anchor>
        </w:drawing>
      </w:r>
      <w:r w:rsidDel="00000000" w:rsidR="00000000" w:rsidRPr="00000000">
        <w:rPr>
          <w:rFonts w:ascii="Spectral" w:cs="Spectral" w:eastAsia="Spectral" w:hAnsi="Spectral"/>
          <w:b w:val="1"/>
          <w:sz w:val="26"/>
          <w:szCs w:val="26"/>
          <w:u w:val="single"/>
          <w:rtl w:val="0"/>
        </w:rPr>
        <w:t xml:space="preserve">How Pythagorean Expectation is a better predictor compared to Win Percentage?</w:t>
      </w:r>
      <w:r w:rsidDel="00000000" w:rsidR="00000000" w:rsidRPr="00000000">
        <w:rPr>
          <w:rtl w:val="0"/>
        </w:rPr>
      </w:r>
    </w:p>
    <w:p w:rsidR="00000000" w:rsidDel="00000000" w:rsidP="00000000" w:rsidRDefault="00000000" w:rsidRPr="00000000" w14:paraId="0000001E">
      <w:pP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This was shown by splitting the 2023/24 EFL dataset consisting of 28 games per team, to two datasets consisting of 14 games per team. Following that the predictability prowess of Pythagorean Expectation and Win % from the first dataset was tested against the actual Win % from the second dataset. The results are shown below and proves that the hypothesis was correct.</w:t>
      </w:r>
    </w:p>
    <w:p w:rsidR="00000000" w:rsidDel="00000000" w:rsidP="00000000" w:rsidRDefault="00000000" w:rsidRPr="00000000" w14:paraId="0000001F">
      <w:pPr>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20">
      <w:pPr>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21">
      <w:pPr>
        <w:rPr>
          <w:rFonts w:ascii="Spectral" w:cs="Spectral" w:eastAsia="Spectral" w:hAnsi="Spectral"/>
          <w:sz w:val="24"/>
          <w:szCs w:val="24"/>
        </w:rPr>
      </w:pPr>
      <w:r w:rsidDel="00000000" w:rsidR="00000000" w:rsidRPr="00000000">
        <w:rPr>
          <w:rFonts w:ascii="Spectral" w:cs="Spectral" w:eastAsia="Spectral" w:hAnsi="Spectral"/>
          <w:sz w:val="24"/>
          <w:szCs w:val="24"/>
        </w:rPr>
        <w:drawing>
          <wp:anchor allowOverlap="1" behindDoc="0" distB="114300" distT="114300" distL="114300" distR="114300" hidden="0" layoutInCell="1" locked="0" relativeHeight="0" simplePos="0">
            <wp:simplePos x="0" y="0"/>
            <wp:positionH relativeFrom="page">
              <wp:posOffset>923925</wp:posOffset>
            </wp:positionH>
            <wp:positionV relativeFrom="page">
              <wp:posOffset>4395262</wp:posOffset>
            </wp:positionV>
            <wp:extent cx="5943600" cy="3228445"/>
            <wp:effectExtent b="12700" l="12700" r="12700" t="1270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228445"/>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22">
      <w:pPr>
        <w:rPr>
          <w:rFonts w:ascii="Spectral" w:cs="Spectral" w:eastAsia="Spectral" w:hAnsi="Spectral"/>
          <w:sz w:val="24"/>
          <w:szCs w:val="24"/>
        </w:rPr>
      </w:pPr>
      <w:r w:rsidDel="00000000" w:rsidR="00000000" w:rsidRPr="00000000">
        <w:rPr>
          <w:rFonts w:ascii="Spectral" w:cs="Spectral" w:eastAsia="Spectral" w:hAnsi="Spectral"/>
          <w:sz w:val="24"/>
          <w:szCs w:val="24"/>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923925</wp:posOffset>
            </wp:positionV>
            <wp:extent cx="5924550" cy="3248025"/>
            <wp:effectExtent b="12700" l="12700" r="12700" t="1270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24550" cy="3248025"/>
                    </a:xfrm>
                    <a:prstGeom prst="rect"/>
                    <a:ln w="12700">
                      <a:solidFill>
                        <a:srgbClr val="000000"/>
                      </a:solidFill>
                      <a:prstDash val="solid"/>
                    </a:ln>
                  </pic:spPr>
                </pic:pic>
              </a:graphicData>
            </a:graphic>
          </wp:anchor>
        </w:drawing>
      </w:r>
      <w:r w:rsidDel="00000000" w:rsidR="00000000" w:rsidRPr="00000000">
        <w:rPr>
          <w:rFonts w:ascii="Spectral" w:cs="Spectral" w:eastAsia="Spectral" w:hAnsi="Spectral"/>
          <w:sz w:val="24"/>
          <w:szCs w:val="24"/>
          <w:rtl w:val="0"/>
        </w:rPr>
        <w:t xml:space="preserve">From the graphs, it can be inferred that Pythagorean Expectation is a better predictor than Win % since its correlation value is higher, 0.488 &gt; 0.408. Therefore, this analysis and the analysis from the previous four seasons alludes to the fact that Pythagorean Expectation is a reliable predictor.</w:t>
      </w:r>
    </w:p>
    <w:p w:rsidR="00000000" w:rsidDel="00000000" w:rsidP="00000000" w:rsidRDefault="00000000" w:rsidRPr="00000000" w14:paraId="00000023">
      <w:pPr>
        <w:rPr>
          <w:rFonts w:ascii="Spectral" w:cs="Spectral" w:eastAsia="Spectral" w:hAnsi="Spectral"/>
          <w:sz w:val="28"/>
          <w:szCs w:val="28"/>
        </w:rPr>
      </w:pPr>
      <w:r w:rsidDel="00000000" w:rsidR="00000000" w:rsidRPr="00000000">
        <w:rPr>
          <w:rFonts w:ascii="Spectral" w:cs="Spectral" w:eastAsia="Spectral" w:hAnsi="Spectral"/>
          <w:b w:val="1"/>
          <w:sz w:val="26"/>
          <w:szCs w:val="26"/>
          <w:u w:val="single"/>
          <w:rtl w:val="0"/>
        </w:rPr>
        <w:t xml:space="preserve">Predicting the result of the 2023/24 EFL Championship Season:</w:t>
      </w:r>
      <w:r w:rsidDel="00000000" w:rsidR="00000000" w:rsidRPr="00000000">
        <w:rPr>
          <w:rtl w:val="0"/>
        </w:rPr>
      </w:r>
    </w:p>
    <w:p w:rsidR="00000000" w:rsidDel="00000000" w:rsidP="00000000" w:rsidRDefault="00000000" w:rsidRPr="00000000" w14:paraId="00000024">
      <w:pP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After assessing and showing the reliability of Pythagorean Expectation to be able to predict results in the previous seasons of the EFL Championship, the final step is to forecast the results of the rest of 2023/24 season and try to decipher any underlying anomalies. For this, a similar process was used and the following table’s attribute “X_PTs” signifies the number of points that each team can be expected to reach based on the Pythagorean Expectation calculated from the first 28 games played by each team.</w:t>
      </w:r>
      <w:r w:rsidDel="00000000" w:rsidR="00000000" w:rsidRPr="00000000">
        <w:rPr>
          <w:rFonts w:ascii="Spectral" w:cs="Spectral" w:eastAsia="Spectral" w:hAnsi="Spectral"/>
          <w:sz w:val="24"/>
          <w:szCs w:val="24"/>
        </w:rPr>
        <w:drawing>
          <wp:anchor allowOverlap="1" behindDoc="0" distB="114300" distT="114300" distL="114300" distR="114300" hidden="0" layoutInCell="1" locked="0" relativeHeight="0" simplePos="0">
            <wp:simplePos x="0" y="0"/>
            <wp:positionH relativeFrom="page">
              <wp:posOffset>1587500</wp:posOffset>
            </wp:positionH>
            <wp:positionV relativeFrom="page">
              <wp:posOffset>2913062</wp:posOffset>
            </wp:positionV>
            <wp:extent cx="4296833" cy="6305550"/>
            <wp:effectExtent b="12700" l="12700" r="12700" t="1270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296833" cy="6305550"/>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25">
      <w:pPr>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26">
      <w:pPr>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27">
      <w:pPr>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2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rPr>
          <w:color w:val="1f1f1f"/>
          <w:sz w:val="22"/>
          <w:szCs w:val="22"/>
        </w:rPr>
      </w:pPr>
      <w:bookmarkStart w:colFirst="0" w:colLast="0" w:name="_bmf23h8orv5u" w:id="0"/>
      <w:bookmarkEnd w:id="0"/>
      <w:r w:rsidDel="00000000" w:rsidR="00000000" w:rsidRPr="00000000">
        <w:rPr>
          <w:rtl w:val="0"/>
        </w:rPr>
      </w:r>
    </w:p>
    <w:p w:rsidR="00000000" w:rsidDel="00000000" w:rsidP="00000000" w:rsidRDefault="00000000" w:rsidRPr="00000000" w14:paraId="0000002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rPr>
          <w:color w:val="1f1f1f"/>
          <w:sz w:val="22"/>
          <w:szCs w:val="22"/>
        </w:rPr>
      </w:pPr>
      <w:bookmarkStart w:colFirst="0" w:colLast="0" w:name="_k880ujyxy8ta" w:id="1"/>
      <w:bookmarkEnd w:id="1"/>
      <w:r w:rsidDel="00000000" w:rsidR="00000000" w:rsidRPr="00000000">
        <w:rPr>
          <w:rtl w:val="0"/>
        </w:rPr>
      </w:r>
    </w:p>
    <w:p w:rsidR="00000000" w:rsidDel="00000000" w:rsidP="00000000" w:rsidRDefault="00000000" w:rsidRPr="00000000" w14:paraId="0000002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rPr>
          <w:color w:val="1f1f1f"/>
          <w:sz w:val="22"/>
          <w:szCs w:val="22"/>
        </w:rPr>
      </w:pPr>
      <w:bookmarkStart w:colFirst="0" w:colLast="0" w:name="_21nnirnhwcke" w:id="2"/>
      <w:bookmarkEnd w:id="2"/>
      <w:r w:rsidDel="00000000" w:rsidR="00000000" w:rsidRPr="00000000">
        <w:rPr>
          <w:rtl w:val="0"/>
        </w:rPr>
      </w:r>
    </w:p>
    <w:p w:rsidR="00000000" w:rsidDel="00000000" w:rsidP="00000000" w:rsidRDefault="00000000" w:rsidRPr="00000000" w14:paraId="0000002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rPr>
          <w:color w:val="1f1f1f"/>
          <w:sz w:val="22"/>
          <w:szCs w:val="22"/>
        </w:rPr>
      </w:pPr>
      <w:bookmarkStart w:colFirst="0" w:colLast="0" w:name="_1geecavv3jov" w:id="3"/>
      <w:bookmarkEnd w:id="3"/>
      <w:r w:rsidDel="00000000" w:rsidR="00000000" w:rsidRPr="00000000">
        <w:rPr>
          <w:rtl w:val="0"/>
        </w:rPr>
      </w:r>
    </w:p>
    <w:p w:rsidR="00000000" w:rsidDel="00000000" w:rsidP="00000000" w:rsidRDefault="00000000" w:rsidRPr="00000000" w14:paraId="0000002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rPr>
          <w:color w:val="1f1f1f"/>
          <w:sz w:val="22"/>
          <w:szCs w:val="22"/>
        </w:rPr>
      </w:pPr>
      <w:bookmarkStart w:colFirst="0" w:colLast="0" w:name="_wxa5ytia6xcl" w:id="4"/>
      <w:bookmarkEnd w:id="4"/>
      <w:r w:rsidDel="00000000" w:rsidR="00000000" w:rsidRPr="00000000">
        <w:rPr>
          <w:rtl w:val="0"/>
        </w:rPr>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rPr>
          <w:color w:val="1f1f1f"/>
          <w:sz w:val="22"/>
          <w:szCs w:val="22"/>
        </w:rPr>
      </w:pPr>
      <w:bookmarkStart w:colFirst="0" w:colLast="0" w:name="_nb2u7lcalwn" w:id="5"/>
      <w:bookmarkEnd w:id="5"/>
      <w:r w:rsidDel="00000000" w:rsidR="00000000" w:rsidRPr="00000000">
        <w:rPr>
          <w:rtl w:val="0"/>
        </w:rPr>
      </w:r>
    </w:p>
    <w:p w:rsidR="00000000" w:rsidDel="00000000" w:rsidP="00000000" w:rsidRDefault="00000000" w:rsidRPr="00000000" w14:paraId="0000002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rPr>
          <w:color w:val="1f1f1f"/>
          <w:sz w:val="22"/>
          <w:szCs w:val="22"/>
        </w:rPr>
      </w:pPr>
      <w:bookmarkStart w:colFirst="0" w:colLast="0" w:name="_r5fj2qd5h0kw" w:id="6"/>
      <w:bookmarkEnd w:id="6"/>
      <w:r w:rsidDel="00000000" w:rsidR="00000000" w:rsidRPr="00000000">
        <w:rPr>
          <w:rtl w:val="0"/>
        </w:rPr>
      </w:r>
    </w:p>
    <w:p w:rsidR="00000000" w:rsidDel="00000000" w:rsidP="00000000" w:rsidRDefault="00000000" w:rsidRPr="00000000" w14:paraId="0000002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rPr>
          <w:color w:val="1f1f1f"/>
          <w:sz w:val="22"/>
          <w:szCs w:val="22"/>
        </w:rPr>
      </w:pPr>
      <w:bookmarkStart w:colFirst="0" w:colLast="0" w:name="_232sdh2qz9h1" w:id="7"/>
      <w:bookmarkEnd w:id="7"/>
      <w:r w:rsidDel="00000000" w:rsidR="00000000" w:rsidRPr="00000000">
        <w:rPr>
          <w:rtl w:val="0"/>
        </w:rPr>
      </w:r>
    </w:p>
    <w:p w:rsidR="00000000" w:rsidDel="00000000" w:rsidP="00000000" w:rsidRDefault="00000000" w:rsidRPr="00000000" w14:paraId="0000003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rPr>
          <w:color w:val="1f1f1f"/>
          <w:sz w:val="22"/>
          <w:szCs w:val="22"/>
        </w:rPr>
      </w:pPr>
      <w:bookmarkStart w:colFirst="0" w:colLast="0" w:name="_3kt6mu6padq" w:id="8"/>
      <w:bookmarkEnd w:id="8"/>
      <w:r w:rsidDel="00000000" w:rsidR="00000000" w:rsidRPr="00000000">
        <w:rPr>
          <w:rtl w:val="0"/>
        </w:rPr>
      </w:r>
    </w:p>
    <w:p w:rsidR="00000000" w:rsidDel="00000000" w:rsidP="00000000" w:rsidRDefault="00000000" w:rsidRPr="00000000" w14:paraId="0000003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rPr>
          <w:color w:val="1f1f1f"/>
          <w:sz w:val="22"/>
          <w:szCs w:val="22"/>
        </w:rPr>
      </w:pPr>
      <w:bookmarkStart w:colFirst="0" w:colLast="0" w:name="_3o68xhh3svxa" w:id="9"/>
      <w:bookmarkEnd w:id="9"/>
      <w:r w:rsidDel="00000000" w:rsidR="00000000" w:rsidRPr="00000000">
        <w:rPr>
          <w:rtl w:val="0"/>
        </w:rPr>
      </w:r>
    </w:p>
    <w:p w:rsidR="00000000" w:rsidDel="00000000" w:rsidP="00000000" w:rsidRDefault="00000000" w:rsidRPr="00000000" w14:paraId="0000003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rPr>
          <w:color w:val="1f1f1f"/>
          <w:sz w:val="22"/>
          <w:szCs w:val="22"/>
        </w:rPr>
      </w:pPr>
      <w:bookmarkStart w:colFirst="0" w:colLast="0" w:name="_8rgbmxnxc042" w:id="10"/>
      <w:bookmarkEnd w:id="10"/>
      <w:r w:rsidDel="00000000" w:rsidR="00000000" w:rsidRPr="00000000">
        <w:rPr>
          <w:rtl w:val="0"/>
        </w:rPr>
      </w:r>
    </w:p>
    <w:p w:rsidR="00000000" w:rsidDel="00000000" w:rsidP="00000000" w:rsidRDefault="00000000" w:rsidRPr="00000000" w14:paraId="0000003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rPr>
          <w:color w:val="1f1f1f"/>
          <w:sz w:val="22"/>
          <w:szCs w:val="22"/>
        </w:rPr>
      </w:pPr>
      <w:bookmarkStart w:colFirst="0" w:colLast="0" w:name="_uxaareww2q91" w:id="11"/>
      <w:bookmarkEnd w:id="11"/>
      <w:r w:rsidDel="00000000" w:rsidR="00000000" w:rsidRPr="00000000">
        <w:rPr>
          <w:rtl w:val="0"/>
        </w:rPr>
      </w:r>
    </w:p>
    <w:p w:rsidR="00000000" w:rsidDel="00000000" w:rsidP="00000000" w:rsidRDefault="00000000" w:rsidRPr="00000000" w14:paraId="0000003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rPr>
          <w:color w:val="1f1f1f"/>
          <w:sz w:val="22"/>
          <w:szCs w:val="22"/>
        </w:rPr>
      </w:pPr>
      <w:bookmarkStart w:colFirst="0" w:colLast="0" w:name="_717tfac40r2h" w:id="12"/>
      <w:bookmarkEnd w:id="12"/>
      <w:r w:rsidDel="00000000" w:rsidR="00000000" w:rsidRPr="00000000">
        <w:rPr>
          <w:rtl w:val="0"/>
        </w:rPr>
      </w:r>
    </w:p>
    <w:p w:rsidR="00000000" w:rsidDel="00000000" w:rsidP="00000000" w:rsidRDefault="00000000" w:rsidRPr="00000000" w14:paraId="0000003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rPr>
          <w:color w:val="1f1f1f"/>
          <w:sz w:val="22"/>
          <w:szCs w:val="22"/>
        </w:rPr>
      </w:pPr>
      <w:bookmarkStart w:colFirst="0" w:colLast="0" w:name="_705fj4gd5j3f" w:id="13"/>
      <w:bookmarkEnd w:id="13"/>
      <w:r w:rsidDel="00000000" w:rsidR="00000000" w:rsidRPr="00000000">
        <w:rPr>
          <w:rtl w:val="0"/>
        </w:rPr>
      </w:r>
    </w:p>
    <w:p w:rsidR="00000000" w:rsidDel="00000000" w:rsidP="00000000" w:rsidRDefault="00000000" w:rsidRPr="00000000" w14:paraId="00000036">
      <w:pPr>
        <w:rPr>
          <w:rFonts w:ascii="Spectral" w:cs="Spectral" w:eastAsia="Spectral" w:hAnsi="Spectral"/>
          <w:sz w:val="28"/>
          <w:szCs w:val="28"/>
        </w:rPr>
      </w:pPr>
      <w:r w:rsidDel="00000000" w:rsidR="00000000" w:rsidRPr="00000000">
        <w:rPr>
          <w:rFonts w:ascii="Spectral" w:cs="Spectral" w:eastAsia="Spectral" w:hAnsi="Spectral"/>
          <w:b w:val="1"/>
          <w:sz w:val="26"/>
          <w:szCs w:val="26"/>
          <w:u w:val="single"/>
          <w:rtl w:val="0"/>
        </w:rPr>
        <w:t xml:space="preserve">Conclusion:</w:t>
      </w:r>
      <w:r w:rsidDel="00000000" w:rsidR="00000000" w:rsidRPr="00000000">
        <w:rPr>
          <w:rtl w:val="0"/>
        </w:rPr>
      </w:r>
    </w:p>
    <w:p w:rsidR="00000000" w:rsidDel="00000000" w:rsidP="00000000" w:rsidRDefault="00000000" w:rsidRPr="00000000" w14:paraId="00000037">
      <w:pP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While Pythagorean Expectation provides a solid foundation for predicting team success, its true value lies in its integration with broader analytical and game-specific, tactical frameworks to provide a comprehensive understanding and prediction of performance. Although Pythagorean Expectation is quite reliable within its parameters, it doesn’t take non-statistical unpredictable factors such as injuries, weather conditions to name a few, into account. Along with that, soccer being a low-scoring, small dataset game, some of these factors may play a significant role. By utilizing Pythagorean Expectation alongside other contextual and tactical insights, game professionals can make informed decisions on a game-by-game basis to improve team performances.</w:t>
      </w:r>
    </w:p>
    <w:p w:rsidR="00000000" w:rsidDel="00000000" w:rsidP="00000000" w:rsidRDefault="00000000" w:rsidRPr="00000000" w14:paraId="00000038">
      <w:pPr>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39">
      <w:pPr>
        <w:rPr>
          <w:rFonts w:ascii="Spectral" w:cs="Spectral" w:eastAsia="Spectral" w:hAnsi="Spectral"/>
          <w:b w:val="1"/>
          <w:sz w:val="26"/>
          <w:szCs w:val="26"/>
          <w:u w:val="single"/>
        </w:rPr>
      </w:pPr>
      <w:r w:rsidDel="00000000" w:rsidR="00000000" w:rsidRPr="00000000">
        <w:rPr>
          <w:rFonts w:ascii="Spectral" w:cs="Spectral" w:eastAsia="Spectral" w:hAnsi="Spectral"/>
          <w:b w:val="1"/>
          <w:sz w:val="26"/>
          <w:szCs w:val="26"/>
          <w:u w:val="single"/>
          <w:rtl w:val="0"/>
        </w:rPr>
        <w:t xml:space="preserve">Sources:</w:t>
      </w:r>
    </w:p>
    <w:p w:rsidR="00000000" w:rsidDel="00000000" w:rsidP="00000000" w:rsidRDefault="00000000" w:rsidRPr="00000000" w14:paraId="0000003A">
      <w:pPr>
        <w:rPr>
          <w:rFonts w:ascii="Spectral" w:cs="Spectral" w:eastAsia="Spectral" w:hAnsi="Spectral"/>
          <w:i w:val="1"/>
          <w:sz w:val="24"/>
          <w:szCs w:val="24"/>
          <w:highlight w:val="white"/>
        </w:rPr>
      </w:pPr>
      <w:r w:rsidDel="00000000" w:rsidR="00000000" w:rsidRPr="00000000">
        <w:rPr>
          <w:rFonts w:ascii="Spectral" w:cs="Spectral" w:eastAsia="Spectral" w:hAnsi="Spectral"/>
          <w:i w:val="1"/>
          <w:sz w:val="24"/>
          <w:szCs w:val="24"/>
          <w:highlight w:val="white"/>
          <w:rtl w:val="0"/>
        </w:rPr>
        <w:t xml:space="preserve">Note: AI softwares, ChatGPT and Gemini were used to assist in the drafting of this article, upon which statistical results and additional content from the author was added</w:t>
      </w:r>
    </w:p>
    <w:p w:rsidR="00000000" w:rsidDel="00000000" w:rsidP="00000000" w:rsidRDefault="00000000" w:rsidRPr="00000000" w14:paraId="0000003B">
      <w:pPr>
        <w:rPr>
          <w:rFonts w:ascii="Spectral" w:cs="Spectral" w:eastAsia="Spectral" w:hAnsi="Spectral"/>
          <w:i w:val="1"/>
          <w:sz w:val="24"/>
          <w:szCs w:val="24"/>
          <w:highlight w:val="white"/>
        </w:rPr>
      </w:pPr>
      <w:r w:rsidDel="00000000" w:rsidR="00000000" w:rsidRPr="00000000">
        <w:rPr>
          <w:rtl w:val="0"/>
        </w:rPr>
      </w:r>
    </w:p>
    <w:p w:rsidR="00000000" w:rsidDel="00000000" w:rsidP="00000000" w:rsidRDefault="00000000" w:rsidRPr="00000000" w14:paraId="0000003C">
      <w:pPr>
        <w:rPr>
          <w:rFonts w:ascii="Spectral" w:cs="Spectral" w:eastAsia="Spectral" w:hAnsi="Spectral"/>
          <w:i w:val="1"/>
          <w:sz w:val="24"/>
          <w:szCs w:val="24"/>
          <w:highlight w:val="white"/>
        </w:rPr>
      </w:pPr>
      <w:r w:rsidDel="00000000" w:rsidR="00000000" w:rsidRPr="00000000">
        <w:rPr>
          <w:rFonts w:ascii="Spectral" w:cs="Spectral" w:eastAsia="Spectral" w:hAnsi="Spectral"/>
          <w:i w:val="1"/>
          <w:sz w:val="24"/>
          <w:szCs w:val="24"/>
          <w:highlight w:val="white"/>
          <w:rtl w:val="0"/>
        </w:rPr>
        <w:t xml:space="preserve">Data for EFL Championship Seasons 2019/20, 2020/21, 2021/22, 2022/23, 2023/24 was provided by Samford University</w:t>
      </w:r>
    </w:p>
    <w:p w:rsidR="00000000" w:rsidDel="00000000" w:rsidP="00000000" w:rsidRDefault="00000000" w:rsidRPr="00000000" w14:paraId="0000003D">
      <w:pPr>
        <w:rPr>
          <w:rFonts w:ascii="Spectral" w:cs="Spectral" w:eastAsia="Spectral" w:hAnsi="Spectral"/>
          <w:i w:val="1"/>
          <w:sz w:val="24"/>
          <w:szCs w:val="24"/>
          <w:highlight w:val="white"/>
        </w:rPr>
      </w:pPr>
      <w:r w:rsidDel="00000000" w:rsidR="00000000" w:rsidRPr="00000000">
        <w:rPr>
          <w:rtl w:val="0"/>
        </w:rPr>
      </w:r>
    </w:p>
    <w:p w:rsidR="00000000" w:rsidDel="00000000" w:rsidP="00000000" w:rsidRDefault="00000000" w:rsidRPr="00000000" w14:paraId="0000003E">
      <w:pPr>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 xml:space="preserve">Home of football statistics and history 11v11. (2024, March 16). League tables. Retrieved from </w:t>
      </w:r>
      <w:hyperlink r:id="rId19">
        <w:r w:rsidDel="00000000" w:rsidR="00000000" w:rsidRPr="00000000">
          <w:rPr>
            <w:rFonts w:ascii="Spectral" w:cs="Spectral" w:eastAsia="Spectral" w:hAnsi="Spectral"/>
            <w:i w:val="1"/>
            <w:color w:val="1155cc"/>
            <w:sz w:val="24"/>
            <w:szCs w:val="24"/>
            <w:u w:val="single"/>
            <w:rtl w:val="0"/>
          </w:rPr>
          <w:t xml:space="preserve">https://www.11v11.com/league-tables/</w:t>
        </w:r>
      </w:hyperlink>
      <w:r w:rsidDel="00000000" w:rsidR="00000000" w:rsidRPr="00000000">
        <w:rPr>
          <w:rtl w:val="0"/>
        </w:rPr>
      </w:r>
    </w:p>
    <w:p w:rsidR="00000000" w:rsidDel="00000000" w:rsidP="00000000" w:rsidRDefault="00000000" w:rsidRPr="00000000" w14:paraId="0000003F">
      <w:pPr>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040">
      <w:pPr>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 xml:space="preserve">Samford University. (2024, March 14). Sports Analytics - Fans. Retrieved from </w:t>
      </w:r>
      <w:hyperlink r:id="rId20">
        <w:r w:rsidDel="00000000" w:rsidR="00000000" w:rsidRPr="00000000">
          <w:rPr>
            <w:rFonts w:ascii="Spectral" w:cs="Spectral" w:eastAsia="Spectral" w:hAnsi="Spectral"/>
            <w:i w:val="1"/>
            <w:color w:val="1155cc"/>
            <w:sz w:val="24"/>
            <w:szCs w:val="24"/>
            <w:u w:val="single"/>
            <w:rtl w:val="0"/>
          </w:rPr>
          <w:t xml:space="preserve">https://www.samford.edu/sports-analytics/fans/</w:t>
        </w:r>
      </w:hyperlink>
      <w:r w:rsidDel="00000000" w:rsidR="00000000" w:rsidRPr="00000000">
        <w:rPr>
          <w:rtl w:val="0"/>
        </w:rPr>
      </w:r>
    </w:p>
    <w:p w:rsidR="00000000" w:rsidDel="00000000" w:rsidP="00000000" w:rsidRDefault="00000000" w:rsidRPr="00000000" w14:paraId="00000041">
      <w:pPr>
        <w:rPr>
          <w:rFonts w:ascii="Spectral" w:cs="Spectral" w:eastAsia="Spectral" w:hAnsi="Spectral"/>
          <w:i w:val="1"/>
          <w:sz w:val="24"/>
          <w:szCs w:val="24"/>
        </w:rPr>
      </w:pPr>
      <w:r w:rsidDel="00000000" w:rsidR="00000000" w:rsidRPr="00000000">
        <w:rPr>
          <w:rtl w:val="0"/>
        </w:rPr>
      </w:r>
    </w:p>
    <w:p w:rsidR="00000000" w:rsidDel="00000000" w:rsidP="00000000" w:rsidRDefault="00000000" w:rsidRPr="00000000" w14:paraId="00000042">
      <w:pPr>
        <w:rPr>
          <w:rFonts w:ascii="Spectral" w:cs="Spectral" w:eastAsia="Spectral" w:hAnsi="Spectral"/>
          <w:sz w:val="24"/>
          <w:szCs w:val="24"/>
        </w:rPr>
      </w:pPr>
      <w:r w:rsidDel="00000000" w:rsidR="00000000" w:rsidRPr="00000000">
        <w:rPr>
          <w:rFonts w:ascii="Spectral" w:cs="Spectral" w:eastAsia="Spectral" w:hAnsi="Spectral"/>
          <w:i w:val="1"/>
          <w:sz w:val="24"/>
          <w:szCs w:val="24"/>
          <w:rtl w:val="0"/>
        </w:rPr>
        <w:t xml:space="preserve">StatsBomb. (2024, March 15). Improving soccer's version of the Bill James Pythagorean. Retrieved from </w:t>
      </w:r>
      <w:hyperlink r:id="rId21">
        <w:r w:rsidDel="00000000" w:rsidR="00000000" w:rsidRPr="00000000">
          <w:rPr>
            <w:rFonts w:ascii="Spectral" w:cs="Spectral" w:eastAsia="Spectral" w:hAnsi="Spectral"/>
            <w:i w:val="1"/>
            <w:color w:val="1155cc"/>
            <w:sz w:val="24"/>
            <w:szCs w:val="24"/>
            <w:u w:val="single"/>
            <w:rtl w:val="0"/>
          </w:rPr>
          <w:t xml:space="preserve">https://statsbomb.com/articles/soccer/improving-soccers-version-of-the-bill-james-pythagorean/</w:t>
        </w:r>
      </w:hyperlink>
      <w:r w:rsidDel="00000000" w:rsidR="00000000" w:rsidRPr="00000000">
        <w:rPr>
          <w:rtl w:val="0"/>
        </w:rPr>
      </w:r>
    </w:p>
    <w:p w:rsidR="00000000" w:rsidDel="00000000" w:rsidP="00000000" w:rsidRDefault="00000000" w:rsidRPr="00000000" w14:paraId="00000043">
      <w:pPr>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44">
      <w:pPr>
        <w:rPr>
          <w:rFonts w:ascii="Spectral" w:cs="Spectral" w:eastAsia="Spectral" w:hAnsi="Spectral"/>
          <w:b w:val="1"/>
          <w:sz w:val="26"/>
          <w:szCs w:val="26"/>
          <w:u w:val="single"/>
        </w:rPr>
      </w:pPr>
      <w:r w:rsidDel="00000000" w:rsidR="00000000" w:rsidRPr="00000000">
        <w:rPr>
          <w:rFonts w:ascii="Spectral" w:cs="Spectral" w:eastAsia="Spectral" w:hAnsi="Spectral"/>
          <w:b w:val="1"/>
          <w:sz w:val="26"/>
          <w:szCs w:val="26"/>
          <w:u w:val="single"/>
          <w:rtl w:val="0"/>
        </w:rPr>
        <w:t xml:space="preserve">About the Author:</w:t>
      </w:r>
    </w:p>
    <w:p w:rsidR="00000000" w:rsidDel="00000000" w:rsidP="00000000" w:rsidRDefault="00000000" w:rsidRPr="00000000" w14:paraId="00000045">
      <w:pPr>
        <w:rPr>
          <w:rFonts w:ascii="Spectral" w:cs="Spectral" w:eastAsia="Spectral" w:hAnsi="Spectral"/>
          <w:sz w:val="24"/>
          <w:szCs w:val="24"/>
          <w:highlight w:val="white"/>
        </w:rPr>
      </w:pPr>
      <w:r w:rsidDel="00000000" w:rsidR="00000000" w:rsidRPr="00000000">
        <w:rPr>
          <w:rFonts w:ascii="Spectral" w:cs="Spectral" w:eastAsia="Spectral" w:hAnsi="Spectral"/>
          <w:sz w:val="24"/>
          <w:szCs w:val="24"/>
          <w:highlight w:val="white"/>
          <w:rtl w:val="0"/>
        </w:rPr>
        <w:t xml:space="preserve">This article was written by Sibi Karthik. Sibi is an undergrad junior studying Computer Science at Vellore Institute of Technology, India. Sibi’s interest and work lies within the fields of Sports Data Analytics and Football Tactical Analysis. Having recently completed his Level 1 and 2 licenses in Coaching Football with the English FA, Sibi is working to continue his pursuit in the field of football and is looking to make a mark on the future of the game.</w:t>
      </w:r>
    </w:p>
    <w:p w:rsidR="00000000" w:rsidDel="00000000" w:rsidP="00000000" w:rsidRDefault="00000000" w:rsidRPr="00000000" w14:paraId="00000046">
      <w:pPr>
        <w:rPr>
          <w:rFonts w:ascii="Spectral" w:cs="Spectral" w:eastAsia="Spectral" w:hAnsi="Spectral"/>
          <w:sz w:val="24"/>
          <w:szCs w:val="24"/>
          <w:highlight w:val="white"/>
        </w:rPr>
      </w:pPr>
      <w:r w:rsidDel="00000000" w:rsidR="00000000" w:rsidRPr="00000000">
        <w:rPr>
          <w:rtl w:val="0"/>
        </w:rPr>
      </w:r>
    </w:p>
    <w:p w:rsidR="00000000" w:rsidDel="00000000" w:rsidP="00000000" w:rsidRDefault="00000000" w:rsidRPr="00000000" w14:paraId="00000047">
      <w:pPr>
        <w:rPr>
          <w:rFonts w:ascii="Spectral" w:cs="Spectral" w:eastAsia="Spectral" w:hAnsi="Spectral"/>
          <w:sz w:val="24"/>
          <w:szCs w:val="24"/>
          <w:highlight w:val="white"/>
        </w:rPr>
      </w:pPr>
      <w:r w:rsidDel="00000000" w:rsidR="00000000" w:rsidRPr="00000000">
        <w:rPr>
          <w:rFonts w:ascii="Spectral" w:cs="Spectral" w:eastAsia="Spectral" w:hAnsi="Spectral"/>
          <w:sz w:val="24"/>
          <w:szCs w:val="24"/>
          <w:highlight w:val="white"/>
          <w:rtl w:val="0"/>
        </w:rPr>
        <w:t xml:space="preserve">LinkedIn - </w:t>
      </w:r>
      <w:hyperlink r:id="rId22">
        <w:r w:rsidDel="00000000" w:rsidR="00000000" w:rsidRPr="00000000">
          <w:rPr>
            <w:rFonts w:ascii="Spectral" w:cs="Spectral" w:eastAsia="Spectral" w:hAnsi="Spectral"/>
            <w:color w:val="1155cc"/>
            <w:sz w:val="24"/>
            <w:szCs w:val="24"/>
            <w:highlight w:val="white"/>
            <w:u w:val="single"/>
            <w:rtl w:val="0"/>
          </w:rPr>
          <w:t xml:space="preserve">https://www.linkedin.com/in/sibi-karthik-302a8224a/</w:t>
        </w:r>
      </w:hyperlink>
      <w:r w:rsidDel="00000000" w:rsidR="00000000" w:rsidRPr="00000000">
        <w:rPr>
          <w:rtl w:val="0"/>
        </w:rPr>
      </w:r>
    </w:p>
    <w:p w:rsidR="00000000" w:rsidDel="00000000" w:rsidP="00000000" w:rsidRDefault="00000000" w:rsidRPr="00000000" w14:paraId="00000048">
      <w:pPr>
        <w:rPr>
          <w:rFonts w:ascii="Spectral" w:cs="Spectral" w:eastAsia="Spectral" w:hAnsi="Spectral"/>
          <w:sz w:val="24"/>
          <w:szCs w:val="24"/>
          <w:highlight w:val="white"/>
        </w:rPr>
      </w:pPr>
      <w:r w:rsidDel="00000000" w:rsidR="00000000" w:rsidRPr="00000000">
        <w:rPr>
          <w:rFonts w:ascii="Spectral" w:cs="Spectral" w:eastAsia="Spectral" w:hAnsi="Spectral"/>
          <w:sz w:val="24"/>
          <w:szCs w:val="24"/>
          <w:highlight w:val="white"/>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3438525</wp:posOffset>
            </wp:positionV>
            <wp:extent cx="2328057" cy="2319338"/>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328057" cy="2319338"/>
                    </a:xfrm>
                    <a:prstGeom prst="rect"/>
                    <a:ln/>
                  </pic:spPr>
                </pic:pic>
              </a:graphicData>
            </a:graphic>
          </wp:anchor>
        </w:drawing>
      </w:r>
      <w:r w:rsidDel="00000000" w:rsidR="00000000" w:rsidRPr="00000000">
        <w:rPr>
          <w:rFonts w:ascii="Spectral" w:cs="Spectral" w:eastAsia="Spectral" w:hAnsi="Spectral"/>
          <w:sz w:val="24"/>
          <w:szCs w:val="24"/>
          <w:highlight w:val="white"/>
          <w:rtl w:val="0"/>
        </w:rPr>
        <w:t xml:space="preserve">GitHub Link to Project - </w:t>
      </w:r>
      <w:hyperlink r:id="rId24">
        <w:r w:rsidDel="00000000" w:rsidR="00000000" w:rsidRPr="00000000">
          <w:rPr>
            <w:rFonts w:ascii="Spectral" w:cs="Spectral" w:eastAsia="Spectral" w:hAnsi="Spectral"/>
            <w:color w:val="1155cc"/>
            <w:sz w:val="24"/>
            <w:szCs w:val="24"/>
            <w:highlight w:val="white"/>
            <w:u w:val="single"/>
            <w:rtl w:val="0"/>
          </w:rPr>
          <w:t xml:space="preserve">https://github.com/sibi15/2023-24-Pythagorean-Expectation</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amford.edu/sports-analytics/fans/" TargetMode="External"/><Relationship Id="rId11" Type="http://schemas.openxmlformats.org/officeDocument/2006/relationships/image" Target="media/image9.png"/><Relationship Id="rId22" Type="http://schemas.openxmlformats.org/officeDocument/2006/relationships/hyperlink" Target="https://www.linkedin.com/in/sibi-karthik-302a8224a/" TargetMode="External"/><Relationship Id="rId10" Type="http://schemas.openxmlformats.org/officeDocument/2006/relationships/image" Target="media/image11.png"/><Relationship Id="rId21" Type="http://schemas.openxmlformats.org/officeDocument/2006/relationships/hyperlink" Target="https://statsbomb.com/articles/soccer/improving-soccers-version-of-the-bill-james-pythagorean/" TargetMode="External"/><Relationship Id="rId13" Type="http://schemas.openxmlformats.org/officeDocument/2006/relationships/image" Target="media/image2.png"/><Relationship Id="rId24" Type="http://schemas.openxmlformats.org/officeDocument/2006/relationships/hyperlink" Target="https://github.com/sibi15/2023-24-Pythagorean-Expectation" TargetMode="External"/><Relationship Id="rId12" Type="http://schemas.openxmlformats.org/officeDocument/2006/relationships/image" Target="media/image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11v11.com/league-tables/" TargetMode="External"/><Relationship Id="rId6" Type="http://schemas.openxmlformats.org/officeDocument/2006/relationships/image" Target="media/image13.png"/><Relationship Id="rId18" Type="http://schemas.openxmlformats.org/officeDocument/2006/relationships/image" Target="media/image8.png"/><Relationship Id="rId7" Type="http://schemas.openxmlformats.org/officeDocument/2006/relationships/image" Target="media/image1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