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2250"/>
        <w:gridCol w:w="4288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03F5F9C5" w:rsidR="003D47FF" w:rsidRPr="003712EE" w:rsidRDefault="000101AF" w:rsidP="00107B36">
            <w:pPr>
              <w:pStyle w:val="Ttulo"/>
              <w:jc w:val="center"/>
              <w:rPr>
                <w:lang w:val="es-ES"/>
              </w:rPr>
            </w:pPr>
            <w:bookmarkStart w:id="0" w:name="_Hlk183509482"/>
            <w:bookmarkEnd w:id="0"/>
            <w:r>
              <w:rPr>
                <w:lang w:val="es-ES"/>
              </w:rPr>
              <w:t>digitalizacion</w:t>
            </w:r>
          </w:p>
        </w:tc>
        <w:tc>
          <w:tcPr>
            <w:tcW w:w="5400" w:type="dxa"/>
            <w:vAlign w:val="bottom"/>
          </w:tcPr>
          <w:p w14:paraId="26CA146A" w14:textId="2A2F82B9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3712EE">
                  <w:t>PRUEBA</w:t>
                </w:r>
                <w:r w:rsidR="00870194">
                  <w:t xml:space="preserve"> </w:t>
                </w:r>
                <w:r w:rsidR="003712EE">
                  <w:t>ABIERTA</w:t>
                </w:r>
                <w:r w:rsidR="00870194">
                  <w:t xml:space="preserve">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853811E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532F346E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0101AF" w:rsidRPr="000101AF">
                  <w:t>Raúl Moreno Luque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A30A79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1" w:name="_Hlk179396116"/>
          <w:p w14:paraId="445C7EAF" w14:textId="2EA2CE3D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722F9C">
                  <w:rPr>
                    <w:lang w:val="es-ES"/>
                  </w:rPr>
                  <w:t>1</w:t>
                </w:r>
              </w:sdtContent>
            </w:sdt>
          </w:p>
          <w:p w14:paraId="14542DE6" w14:textId="59D9F77D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BA06E0" w:rsidRPr="00BA06E0">
                  <w:rPr>
                    <w:b w:val="0"/>
                    <w:szCs w:val="40"/>
                    <w:lang w:val="es-ES"/>
                  </w:rPr>
                  <w:t>Diferencias y Similitudes entre IT y OT</w:t>
                </w:r>
              </w:sdtContent>
            </w:sdt>
            <w:bookmarkEnd w:id="1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A1EEA18" w14:textId="77777777" w:rsidR="00662C03" w:rsidRDefault="00662C03" w:rsidP="00AC696D">
      <w:pPr>
        <w:rPr>
          <w:sz w:val="24"/>
          <w:szCs w:val="24"/>
          <w:lang w:val="es-ES"/>
        </w:rPr>
      </w:pPr>
    </w:p>
    <w:p w14:paraId="774FD93D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 xml:space="preserve">1. Diferencias y Similitudes entre IT y OT </w:t>
      </w:r>
    </w:p>
    <w:p w14:paraId="4D4DDFF6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Definiciones clave:</w:t>
      </w:r>
    </w:p>
    <w:p w14:paraId="3F95C24C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6F4BC6F5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IT (Tecnologías de la Información): Se encarga de datos, redes y sistemas digitales que apoyan tareas administrativas y estratégicas.</w:t>
      </w:r>
    </w:p>
    <w:p w14:paraId="491C8DAE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OT (Tecnologías Operativas): Controla maquinaria y procesos industriales mediante sistemas físicos como sensores y SCADA.</w:t>
      </w:r>
    </w:p>
    <w:p w14:paraId="67741C9B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6C7A62B0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Diferencias:</w:t>
      </w:r>
    </w:p>
    <w:p w14:paraId="2E28E7DC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7253A861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Función principal: IT se ocupa de datos y comunicación, mientras OT gestiona maquinaria en tiempo real.</w:t>
      </w:r>
    </w:p>
    <w:p w14:paraId="0E6F79B1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Seguridad: IT se centra en proteger datos, pero OT se preocupa por prevenir fallos operacionales.</w:t>
      </w:r>
    </w:p>
    <w:p w14:paraId="659C36DE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Entorno: IT trabaja en oficinas, y OT en fábricas.</w:t>
      </w:r>
    </w:p>
    <w:p w14:paraId="34F1CC00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3B2BDE50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Similitudes:</w:t>
      </w:r>
    </w:p>
    <w:p w14:paraId="1CFC7363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1BE36C04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Ambos tratan de mejorar procesos y necesitan actualizaciones frecuentes.</w:t>
      </w:r>
    </w:p>
    <w:p w14:paraId="7EB3A121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La digitalización está uniendo sus roles, combinando análisis de datos (IT) con datos en tiempo real (OT).</w:t>
      </w:r>
    </w:p>
    <w:p w14:paraId="4C395A5C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4F4C6080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Impacto en la empresa digitalizada:</w:t>
      </w:r>
    </w:p>
    <w:p w14:paraId="401EE99D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La combinación de IT y OT eleva la eficiencia operativa y acelera la solución de problemas.</w:t>
      </w:r>
    </w:p>
    <w:p w14:paraId="7CF50113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5E373C52" w14:textId="77777777" w:rsid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Ejemplo: Una planta automatizada conecta sensores OT con un ERP (IT), haciendo que el mantenimiento predictivo se base en datos en tiempo real.</w:t>
      </w:r>
    </w:p>
    <w:p w14:paraId="4FB7B2A5" w14:textId="1116BE83" w:rsidR="00E573E8" w:rsidRDefault="00E573E8" w:rsidP="00BA06E0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lastRenderedPageBreak/>
        <w:drawing>
          <wp:inline distT="0" distB="0" distL="0" distR="0" wp14:anchorId="30974F4E" wp14:editId="44B3E4A8">
            <wp:extent cx="5943600" cy="3343275"/>
            <wp:effectExtent l="19050" t="19050" r="19050" b="28575"/>
            <wp:docPr id="15614292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9266" name="Imagen 15614292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33E003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43D864BE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3EA137C0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61142FA6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4CAA40AB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5180DEDE" w14:textId="0BE5CC7B" w:rsidR="00E573E8" w:rsidRDefault="00E573E8" w:rsidP="00BA06E0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09E24249" wp14:editId="604EDCAF">
            <wp:extent cx="5943600" cy="3360420"/>
            <wp:effectExtent l="19050" t="19050" r="19050" b="11430"/>
            <wp:docPr id="14143254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5418" name="Imagen 14143254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29585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7D5A3A00" w14:textId="77777777" w:rsidR="00E573E8" w:rsidRDefault="00E573E8" w:rsidP="00BA06E0">
      <w:pPr>
        <w:rPr>
          <w:rFonts w:cstheme="minorHAnsi"/>
          <w:szCs w:val="28"/>
          <w:lang w:val="es-ES"/>
        </w:rPr>
      </w:pPr>
    </w:p>
    <w:p w14:paraId="728B6E88" w14:textId="3B3FA617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02</w:t>
      </w:r>
    </w:p>
    <w:p w14:paraId="704CC566" w14:textId="4EB35E6A" w:rsidR="00722F9C" w:rsidRDefault="00BA06E0" w:rsidP="00BA06E0">
      <w:pPr>
        <w:pStyle w:val="Ttulo1"/>
        <w:rPr>
          <w:rFonts w:cstheme="minorHAnsi"/>
          <w:szCs w:val="28"/>
          <w:lang w:val="es-ES"/>
        </w:rPr>
      </w:pPr>
      <w:r w:rsidRPr="00BA06E0">
        <w:rPr>
          <w:lang w:val="es-ES"/>
        </w:rPr>
        <w:t>Impacto de IT y OT en los Procesos de la Empresa Digitalizada</w:t>
      </w:r>
    </w:p>
    <w:p w14:paraId="6DBBF38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CA3425B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2.1 Optimización de procesos:</w:t>
      </w:r>
    </w:p>
    <w:p w14:paraId="0E357939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La fusión de IT y OT automatiza tareas, disminuyendo errores humanos y aumentando la productividad.</w:t>
      </w:r>
    </w:p>
    <w:p w14:paraId="34784338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04B78813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Ejemplo: Sensores OT detectan problemas en una línea de ensamblaje, mientras IT genera órdenes de mantenimiento automáticamente para reducir interrupciones.</w:t>
      </w:r>
    </w:p>
    <w:p w14:paraId="0FEBF462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6A0AFEE8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2.2 Mejora en la toma de decisiones:</w:t>
      </w:r>
    </w:p>
    <w:p w14:paraId="42E20A09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IT usa datos de OT para encontrar patrones, apoyando decisiones estratégicas fundamentadas en información correcta.</w:t>
      </w:r>
    </w:p>
    <w:p w14:paraId="74A7C97E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63E9D8E3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Ejemplo: Sensores OT en vehículos logísticos envían datos a IT, mejorando las rutas y la eficiencia operativa.</w:t>
      </w:r>
    </w:p>
    <w:p w14:paraId="1D326EE2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32D49597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2.3 Reducción de costos y tiempos de inactividad:</w:t>
      </w:r>
    </w:p>
    <w:p w14:paraId="207B9241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La unión permite el mantenimiento predictivo, evitando fallos imprevistos.</w:t>
      </w:r>
    </w:p>
    <w:p w14:paraId="3FA69DA2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75FA1768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Ejemplo: En una planta energética, los sensores OT avisan sobre desgastes antes de que ocurran fallos, programando reparaciones preventivas.</w:t>
      </w:r>
    </w:p>
    <w:p w14:paraId="101FBD06" w14:textId="77777777" w:rsidR="00BA06E0" w:rsidRDefault="00BA06E0" w:rsidP="00722F9C">
      <w:pPr>
        <w:rPr>
          <w:rFonts w:cstheme="minorHAnsi"/>
          <w:szCs w:val="28"/>
          <w:lang w:val="es-ES"/>
        </w:rPr>
      </w:pPr>
    </w:p>
    <w:p w14:paraId="790173DA" w14:textId="24C331EC" w:rsidR="00E573E8" w:rsidRDefault="00E573E8" w:rsidP="00722F9C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lastRenderedPageBreak/>
        <w:drawing>
          <wp:inline distT="0" distB="0" distL="0" distR="0" wp14:anchorId="6F5EF0DD" wp14:editId="350D2D21">
            <wp:extent cx="5943600" cy="3252470"/>
            <wp:effectExtent l="19050" t="19050" r="19050" b="24130"/>
            <wp:docPr id="13929963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96349" name="Imagen 1392996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721A5" w14:textId="77777777" w:rsidR="00E573E8" w:rsidRDefault="00E573E8" w:rsidP="00722F9C">
      <w:pPr>
        <w:rPr>
          <w:rFonts w:cstheme="minorHAnsi"/>
          <w:szCs w:val="28"/>
          <w:lang w:val="es-ES"/>
        </w:rPr>
      </w:pPr>
    </w:p>
    <w:p w14:paraId="6CE0B3EA" w14:textId="77777777" w:rsidR="00DD0062" w:rsidRDefault="00DD0062" w:rsidP="00722F9C">
      <w:pPr>
        <w:rPr>
          <w:rFonts w:cstheme="minorHAnsi"/>
          <w:szCs w:val="28"/>
          <w:lang w:val="es-ES"/>
        </w:rPr>
      </w:pPr>
    </w:p>
    <w:p w14:paraId="05A67ADA" w14:textId="77777777" w:rsidR="00E573E8" w:rsidRDefault="00E573E8" w:rsidP="00722F9C">
      <w:pPr>
        <w:rPr>
          <w:rFonts w:cstheme="minorHAnsi"/>
          <w:szCs w:val="28"/>
          <w:lang w:val="es-ES"/>
        </w:rPr>
      </w:pPr>
    </w:p>
    <w:p w14:paraId="14212AE0" w14:textId="27A239D9" w:rsidR="00E573E8" w:rsidRDefault="00DD0062" w:rsidP="00722F9C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1591F9D3" wp14:editId="15225085">
            <wp:extent cx="5943600" cy="3910330"/>
            <wp:effectExtent l="19050" t="19050" r="19050" b="13970"/>
            <wp:docPr id="13125036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3653" name="Imagen 13125036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877AB3" w14:textId="77777777" w:rsidR="00E573E8" w:rsidRDefault="00E573E8" w:rsidP="00722F9C">
      <w:pPr>
        <w:rPr>
          <w:rFonts w:cstheme="minorHAnsi"/>
          <w:szCs w:val="28"/>
          <w:lang w:val="es-ES"/>
        </w:rPr>
      </w:pPr>
    </w:p>
    <w:p w14:paraId="1EC9575B" w14:textId="77777777" w:rsidR="00E573E8" w:rsidRDefault="00E573E8" w:rsidP="00722F9C">
      <w:pPr>
        <w:rPr>
          <w:rFonts w:cstheme="minorHAnsi"/>
          <w:szCs w:val="28"/>
          <w:lang w:val="es-ES"/>
        </w:rPr>
      </w:pPr>
    </w:p>
    <w:p w14:paraId="19C663EA" w14:textId="77777777" w:rsidR="00E573E8" w:rsidRDefault="00E573E8" w:rsidP="00722F9C">
      <w:pPr>
        <w:rPr>
          <w:rFonts w:cstheme="minorHAnsi"/>
          <w:szCs w:val="28"/>
          <w:lang w:val="es-ES"/>
        </w:rPr>
      </w:pPr>
    </w:p>
    <w:p w14:paraId="252FA16B" w14:textId="77777777" w:rsidR="00E573E8" w:rsidRDefault="00E573E8" w:rsidP="00722F9C">
      <w:pPr>
        <w:rPr>
          <w:rFonts w:cstheme="minorHAnsi"/>
          <w:szCs w:val="28"/>
          <w:lang w:val="es-ES"/>
        </w:rPr>
      </w:pPr>
    </w:p>
    <w:p w14:paraId="78E5AAB6" w14:textId="0603578B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>
        <w:rPr>
          <w:lang w:val="es-ES"/>
        </w:rPr>
        <w:t>3</w:t>
      </w:r>
    </w:p>
    <w:p w14:paraId="5B5B91C8" w14:textId="160ADBC3" w:rsidR="00722F9C" w:rsidRPr="00722F9C" w:rsidRDefault="00BA06E0" w:rsidP="00BA06E0">
      <w:pPr>
        <w:pStyle w:val="Ttulo1"/>
        <w:rPr>
          <w:lang w:val="es-ES"/>
        </w:rPr>
      </w:pPr>
      <w:r w:rsidRPr="00BA06E0">
        <w:rPr>
          <w:rFonts w:cstheme="minorHAnsi"/>
          <w:szCs w:val="28"/>
          <w:lang w:val="es-ES"/>
        </w:rPr>
        <w:t>Justificación de la Conexión entre IT y OT</w:t>
      </w:r>
    </w:p>
    <w:p w14:paraId="4A46E595" w14:textId="77777777" w:rsidR="00722F9C" w:rsidRDefault="00722F9C" w:rsidP="00722F9C">
      <w:pPr>
        <w:rPr>
          <w:rFonts w:cstheme="minorHAnsi"/>
          <w:szCs w:val="28"/>
          <w:lang w:val="es-ES"/>
        </w:rPr>
      </w:pPr>
    </w:p>
    <w:p w14:paraId="24DF5C6A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3.1 Ventajas operativas:</w:t>
      </w:r>
    </w:p>
    <w:p w14:paraId="27E90E59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32D83CE2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Mantenimiento predictivo: IT y OT vigilan maquinaria en tiempo real, previniendo fallos.</w:t>
      </w:r>
    </w:p>
    <w:p w14:paraId="2CA467B2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Automatización avanzada: Los sistemas integrados llevan a cabo procesos autónomos con poca intervención humana.</w:t>
      </w:r>
    </w:p>
    <w:p w14:paraId="3A2AD6FB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18862152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Ejemplo: En la industria automotriz, los robots ensambladores (OT) ajustan parámetros automáticamente según los datos de demanda que procesa IT.</w:t>
      </w:r>
    </w:p>
    <w:p w14:paraId="6CB8FADD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0F7CD358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3.2 Ventajas estratégicas:</w:t>
      </w:r>
    </w:p>
    <w:p w14:paraId="42C48F8A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09C3804C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Decisiones rápidas: Los datos de OT analizados por IT permiten ajustes estratégicos veloces.</w:t>
      </w:r>
    </w:p>
    <w:p w14:paraId="2C1D8AF3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Competitividad: La eficiencia operativa facilita respuestas rápidas a cambios en el mercado.</w:t>
      </w:r>
    </w:p>
    <w:p w14:paraId="04684D9E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307668DC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Ejemplo: Sensores OT en almacenes conectados a IT administran inventarios automáticamente, optimizando el suministro en tiempo real.</w:t>
      </w:r>
    </w:p>
    <w:p w14:paraId="49A19E2E" w14:textId="77777777" w:rsidR="00BA06E0" w:rsidRPr="00BA06E0" w:rsidRDefault="00BA06E0" w:rsidP="00BA06E0">
      <w:pPr>
        <w:rPr>
          <w:rFonts w:cstheme="minorHAnsi"/>
          <w:szCs w:val="28"/>
          <w:lang w:val="es-ES"/>
        </w:rPr>
      </w:pPr>
    </w:p>
    <w:p w14:paraId="583E37E1" w14:textId="77777777" w:rsidR="00BA06E0" w:rsidRPr="00BA06E0" w:rsidRDefault="00BA06E0" w:rsidP="00BA06E0">
      <w:pPr>
        <w:rPr>
          <w:rFonts w:cstheme="minorHAnsi"/>
          <w:b/>
          <w:bCs/>
          <w:szCs w:val="28"/>
          <w:lang w:val="es-ES"/>
        </w:rPr>
      </w:pPr>
      <w:r w:rsidRPr="00BA06E0">
        <w:rPr>
          <w:rFonts w:cstheme="minorHAnsi"/>
          <w:b/>
          <w:bCs/>
          <w:szCs w:val="28"/>
          <w:lang w:val="es-ES"/>
        </w:rPr>
        <w:t>Conclusión</w:t>
      </w:r>
    </w:p>
    <w:p w14:paraId="65F2A587" w14:textId="77777777" w:rsidR="00BA06E0" w:rsidRDefault="00BA06E0" w:rsidP="00BA06E0">
      <w:pPr>
        <w:rPr>
          <w:rFonts w:cstheme="minorHAnsi"/>
          <w:szCs w:val="28"/>
          <w:lang w:val="es-ES"/>
        </w:rPr>
      </w:pPr>
      <w:r w:rsidRPr="00BA06E0">
        <w:rPr>
          <w:rFonts w:cstheme="minorHAnsi"/>
          <w:szCs w:val="28"/>
          <w:lang w:val="es-ES"/>
        </w:rPr>
        <w:t>La unión de IT y OT es esencial para la digitalización de empresas. Aunque cumplen funciones distintas, su conexión mejora la eficiencia operativa, aumenta la competitividad y posibilita decisiones fundamentadas en datos en tiempo real. Esta integración cambia los procesos productivos, reduce costos y crea estrategias flexibles. Las compañías que logren esta fusión estarán mejor posicionadas para destacarse en la Industria 4.0.</w:t>
      </w:r>
    </w:p>
    <w:p w14:paraId="5C64DF82" w14:textId="77777777" w:rsidR="00BA06E0" w:rsidRDefault="00BA06E0" w:rsidP="00722F9C">
      <w:pPr>
        <w:rPr>
          <w:rFonts w:cstheme="minorHAnsi"/>
          <w:szCs w:val="28"/>
          <w:lang w:val="es-ES"/>
        </w:rPr>
      </w:pPr>
    </w:p>
    <w:p w14:paraId="09AA06F1" w14:textId="37BA5578" w:rsidR="00E573E8" w:rsidRDefault="00E573E8" w:rsidP="00722F9C">
      <w:pPr>
        <w:rPr>
          <w:rFonts w:cstheme="minorHAnsi"/>
          <w:szCs w:val="28"/>
          <w:lang w:val="es-ES"/>
        </w:rPr>
      </w:pPr>
    </w:p>
    <w:p w14:paraId="578A5190" w14:textId="13896866" w:rsidR="00762F9A" w:rsidRPr="00722F9C" w:rsidRDefault="00762F9A" w:rsidP="00762F9A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 w:rsidR="00E573E8">
        <w:rPr>
          <w:lang w:val="es-ES"/>
        </w:rPr>
        <w:t>4</w:t>
      </w:r>
    </w:p>
    <w:p w14:paraId="7067F839" w14:textId="0A35435B" w:rsidR="00762F9A" w:rsidRDefault="00762F9A" w:rsidP="00762F9A">
      <w:pPr>
        <w:pStyle w:val="Ttulo1"/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referencias</w:t>
      </w:r>
    </w:p>
    <w:p w14:paraId="3EEAA795" w14:textId="77777777" w:rsidR="00B010C3" w:rsidRDefault="00B010C3" w:rsidP="00B010C3">
      <w:pPr>
        <w:rPr>
          <w:rFonts w:cstheme="minorHAnsi"/>
          <w:szCs w:val="28"/>
          <w:lang w:val="es-ES"/>
        </w:rPr>
      </w:pPr>
    </w:p>
    <w:p w14:paraId="791A41C1" w14:textId="1AE247EA" w:rsidR="0052012E" w:rsidRDefault="00D53D74" w:rsidP="00B010C3">
      <w:pPr>
        <w:rPr>
          <w:rFonts w:cstheme="minorHAnsi"/>
          <w:szCs w:val="28"/>
          <w:lang w:val="es-ES"/>
        </w:rPr>
      </w:pPr>
      <w:hyperlink r:id="rId18" w:history="1">
        <w:r w:rsidRPr="0003162D">
          <w:rPr>
            <w:rStyle w:val="Hipervnculo"/>
            <w:rFonts w:cstheme="minorHAnsi"/>
            <w:szCs w:val="28"/>
            <w:lang w:val="es-ES"/>
          </w:rPr>
          <w:t>https://tulip.co/es/blog/it-vs-ot-difference-between-information-technology-and-operational-technology/</w:t>
        </w:r>
      </w:hyperlink>
    </w:p>
    <w:p w14:paraId="5C7674F7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4627F5A0" w14:textId="16466A93" w:rsidR="00D53D74" w:rsidRDefault="00D53D74" w:rsidP="00B010C3">
      <w:pPr>
        <w:rPr>
          <w:rFonts w:cstheme="minorHAnsi"/>
          <w:szCs w:val="28"/>
          <w:lang w:val="es-ES"/>
        </w:rPr>
      </w:pPr>
      <w:hyperlink r:id="rId19" w:history="1">
        <w:r w:rsidRPr="0003162D">
          <w:rPr>
            <w:rStyle w:val="Hipervnculo"/>
            <w:rFonts w:cstheme="minorHAnsi"/>
            <w:szCs w:val="28"/>
            <w:lang w:val="es-ES"/>
          </w:rPr>
          <w:t>https://prezi.com/p/kjpdfcix3zrl/diferencias-y-similitudes-entre-los-entornos-it-y-ot/</w:t>
        </w:r>
      </w:hyperlink>
    </w:p>
    <w:p w14:paraId="79A43BD7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1EF1B14C" w14:textId="2AE55A01" w:rsidR="00D53D74" w:rsidRDefault="00D53D74" w:rsidP="00B010C3">
      <w:pPr>
        <w:rPr>
          <w:rFonts w:cstheme="minorHAnsi"/>
          <w:szCs w:val="28"/>
          <w:lang w:val="es-ES"/>
        </w:rPr>
      </w:pPr>
      <w:hyperlink r:id="rId20" w:history="1">
        <w:r w:rsidRPr="0003162D">
          <w:rPr>
            <w:rStyle w:val="Hipervnculo"/>
            <w:rFonts w:cstheme="minorHAnsi"/>
            <w:szCs w:val="28"/>
            <w:lang w:val="es-ES"/>
          </w:rPr>
          <w:t>https://campusformaciongranada.es/wp-content/uploads/2024/09/Tema-1-Digitalizacion-G-SUPERIOR-PDF.pdf</w:t>
        </w:r>
      </w:hyperlink>
    </w:p>
    <w:p w14:paraId="2BFA9002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1184E0E0" w14:textId="6163F5D1" w:rsidR="00D53D74" w:rsidRDefault="00D53D74" w:rsidP="00B010C3">
      <w:pPr>
        <w:rPr>
          <w:rFonts w:cstheme="minorHAnsi"/>
          <w:szCs w:val="28"/>
          <w:lang w:val="es-ES"/>
        </w:rPr>
      </w:pPr>
      <w:hyperlink r:id="rId21" w:history="1">
        <w:r w:rsidRPr="0003162D">
          <w:rPr>
            <w:rStyle w:val="Hipervnculo"/>
            <w:rFonts w:cstheme="minorHAnsi"/>
            <w:szCs w:val="28"/>
            <w:lang w:val="es-ES"/>
          </w:rPr>
          <w:t>https://www.proarquitectura.es/como-mantener-el-ritmo-a-la-evolucion-de-los-sistemas-it-ot-en-la-industria-4-0/</w:t>
        </w:r>
      </w:hyperlink>
    </w:p>
    <w:p w14:paraId="246D2761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19BD0CCE" w14:textId="6298FDB4" w:rsidR="00D53D74" w:rsidRDefault="00D53D74" w:rsidP="00B010C3">
      <w:pPr>
        <w:rPr>
          <w:rFonts w:cstheme="minorHAnsi"/>
          <w:szCs w:val="28"/>
          <w:lang w:val="es-ES"/>
        </w:rPr>
      </w:pPr>
      <w:hyperlink r:id="rId22" w:history="1">
        <w:r w:rsidRPr="0003162D">
          <w:rPr>
            <w:rStyle w:val="Hipervnculo"/>
            <w:rFonts w:cstheme="minorHAnsi"/>
            <w:szCs w:val="28"/>
            <w:lang w:val="es-ES"/>
          </w:rPr>
          <w:t>https://www.linkedin.com/pulse/qu%C3%A9-es-la-convergencia-itot-daniel-garrido/</w:t>
        </w:r>
      </w:hyperlink>
    </w:p>
    <w:p w14:paraId="24BCC841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02C6C999" w14:textId="2032091D" w:rsidR="00D53D74" w:rsidRDefault="00D53D74" w:rsidP="00B010C3">
      <w:pPr>
        <w:rPr>
          <w:rFonts w:cstheme="minorHAnsi"/>
          <w:szCs w:val="28"/>
          <w:lang w:val="es-ES"/>
        </w:rPr>
      </w:pPr>
      <w:hyperlink r:id="rId23" w:history="1">
        <w:r w:rsidRPr="0003162D">
          <w:rPr>
            <w:rStyle w:val="Hipervnculo"/>
            <w:rFonts w:cstheme="minorHAnsi"/>
            <w:szCs w:val="28"/>
            <w:lang w:val="es-ES"/>
          </w:rPr>
          <w:t>https://www.youtube.com/watch?v=0otRNusdOao</w:t>
        </w:r>
      </w:hyperlink>
    </w:p>
    <w:p w14:paraId="01319D83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sectPr w:rsidR="00D53D74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AC039" w14:textId="77777777" w:rsidR="00F84DF9" w:rsidRDefault="00F84DF9" w:rsidP="002125C1">
      <w:pPr>
        <w:spacing w:line="240" w:lineRule="auto"/>
      </w:pPr>
      <w:r>
        <w:separator/>
      </w:r>
    </w:p>
  </w:endnote>
  <w:endnote w:type="continuationSeparator" w:id="0">
    <w:p w14:paraId="4BB77842" w14:textId="77777777" w:rsidR="00F84DF9" w:rsidRDefault="00F84DF9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0F3F3" w14:textId="77777777" w:rsidR="00F84DF9" w:rsidRDefault="00F84DF9" w:rsidP="002125C1">
      <w:pPr>
        <w:spacing w:line="240" w:lineRule="auto"/>
      </w:pPr>
      <w:r>
        <w:separator/>
      </w:r>
    </w:p>
  </w:footnote>
  <w:footnote w:type="continuationSeparator" w:id="0">
    <w:p w14:paraId="0016F8E7" w14:textId="77777777" w:rsidR="00F84DF9" w:rsidRDefault="00F84DF9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A01E9"/>
    <w:rsid w:val="004B77C5"/>
    <w:rsid w:val="004C614B"/>
    <w:rsid w:val="004D3CF7"/>
    <w:rsid w:val="004E1ABD"/>
    <w:rsid w:val="004E280E"/>
    <w:rsid w:val="004E6CF8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97A87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8D2526"/>
    <w:rsid w:val="008E2CBB"/>
    <w:rsid w:val="00902CA4"/>
    <w:rsid w:val="0090710C"/>
    <w:rsid w:val="00907584"/>
    <w:rsid w:val="00926104"/>
    <w:rsid w:val="00930159"/>
    <w:rsid w:val="00935976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2C58"/>
    <w:rsid w:val="00A74F53"/>
    <w:rsid w:val="00A8193A"/>
    <w:rsid w:val="00A84041"/>
    <w:rsid w:val="00A9011F"/>
    <w:rsid w:val="00AC696D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A06E0"/>
    <w:rsid w:val="00BA4DCF"/>
    <w:rsid w:val="00BC61E6"/>
    <w:rsid w:val="00BD29BC"/>
    <w:rsid w:val="00BE6E07"/>
    <w:rsid w:val="00BF1066"/>
    <w:rsid w:val="00BF6F9F"/>
    <w:rsid w:val="00C128A1"/>
    <w:rsid w:val="00C16C24"/>
    <w:rsid w:val="00C36763"/>
    <w:rsid w:val="00C4778A"/>
    <w:rsid w:val="00C63E0B"/>
    <w:rsid w:val="00C753BB"/>
    <w:rsid w:val="00C92229"/>
    <w:rsid w:val="00CA4C3B"/>
    <w:rsid w:val="00CB6190"/>
    <w:rsid w:val="00CC4257"/>
    <w:rsid w:val="00CD40FA"/>
    <w:rsid w:val="00D10F62"/>
    <w:rsid w:val="00D53D74"/>
    <w:rsid w:val="00D67989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73E8"/>
    <w:rsid w:val="00E64FB2"/>
    <w:rsid w:val="00E66CF4"/>
    <w:rsid w:val="00E773B5"/>
    <w:rsid w:val="00E8450B"/>
    <w:rsid w:val="00EA13EC"/>
    <w:rsid w:val="00ED249E"/>
    <w:rsid w:val="00EF59F0"/>
    <w:rsid w:val="00F007DF"/>
    <w:rsid w:val="00F263B3"/>
    <w:rsid w:val="00F41A66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tulip.co/es/blog/it-vs-ot-difference-between-information-technology-and-operational-technology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arquitectura.es/como-mantener-el-ritmo-a-la-evolucion-de-los-sistemas-it-ot-en-la-industria-4-0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fi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https://campusformaciongranada.es/wp-content/uploads/2024/09/Tema-1-Digitalizacion-G-SUPERIOR-PDF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hyperlink" Target="https://www.youtube.com/watch?v=0otRNusdOao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rezi.com/p/kjpdfcix3zrl/diferencias-y-similitudes-entre-los-entornos-it-y-o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s://www.linkedin.com/pulse/qu%C3%A9-es-la-convergencia-itot-daniel-garrid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B32AC"/>
    <w:rsid w:val="002E24BB"/>
    <w:rsid w:val="0035751E"/>
    <w:rsid w:val="00411FF3"/>
    <w:rsid w:val="00434B2D"/>
    <w:rsid w:val="00444E2C"/>
    <w:rsid w:val="00454BCD"/>
    <w:rsid w:val="005A1426"/>
    <w:rsid w:val="005B1A24"/>
    <w:rsid w:val="005E7998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2CBB"/>
    <w:rsid w:val="009366AB"/>
    <w:rsid w:val="00990CAE"/>
    <w:rsid w:val="009D6723"/>
    <w:rsid w:val="00A04255"/>
    <w:rsid w:val="00AA409B"/>
    <w:rsid w:val="00AF2BAC"/>
    <w:rsid w:val="00B44AFF"/>
    <w:rsid w:val="00C4778A"/>
    <w:rsid w:val="00DC23B0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697</Words>
  <Characters>3835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28</cp:revision>
  <cp:lastPrinted>2024-10-14T14:15:00Z</cp:lastPrinted>
  <dcterms:created xsi:type="dcterms:W3CDTF">2024-11-19T10:11:00Z</dcterms:created>
  <dcterms:modified xsi:type="dcterms:W3CDTF">2024-11-26T09:31:00Z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