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2AAC" w14:textId="32507FA1" w:rsidR="006A55E9" w:rsidRDefault="008A54B2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 Chemistry Guided Development of Novel Ligands for Selective Ethylene Tetramerization</w:t>
      </w:r>
    </w:p>
    <w:p w14:paraId="502345EB" w14:textId="77777777" w:rsidR="008A54B2" w:rsidRPr="006A55E9" w:rsidRDefault="008A54B2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6EEC83" w14:textId="0F478346" w:rsidR="006A55E9" w:rsidRPr="008160F2" w:rsidRDefault="006A55E9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Sibo Lin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1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Mohamed Elanany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2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Motaz Khawaji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2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Wei Xu</w:t>
      </w: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2</w:t>
      </w:r>
      <w:r w:rsidR="00816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, </w:t>
      </w:r>
      <w:r w:rsidR="00816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E. A. Jasser</w:t>
      </w:r>
      <w:r w:rsidR="008160F2" w:rsidRPr="00816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3</w:t>
      </w:r>
      <w:r w:rsidR="00816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 xml:space="preserve"> </w:t>
      </w:r>
      <w:r w:rsidR="008160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(other KFUPM authors?)</w:t>
      </w:r>
    </w:p>
    <w:p w14:paraId="3C744A3D" w14:textId="77777777" w:rsidR="006A55E9" w:rsidRPr="008160F2" w:rsidRDefault="006A55E9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</w:pPr>
      <w:r w:rsidRPr="008160F2">
        <w:rPr>
          <w:rFonts w:ascii="Times New Roman" w:hAnsi="Times New Roman" w:cs="Times New Roman"/>
          <w:color w:val="000000" w:themeColor="text1"/>
          <w:sz w:val="16"/>
          <w:szCs w:val="16"/>
          <w:vertAlign w:val="superscript"/>
          <w:lang w:val="en-AU"/>
        </w:rPr>
        <w:t>1</w:t>
      </w:r>
      <w:r w:rsidRPr="008160F2"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  <w:t>Aramco Services Company: Aramco Research Center – Boston, Catalysis Technology Group, Cambridge, MA, USA, siboster@gmail.com</w:t>
      </w:r>
    </w:p>
    <w:p w14:paraId="5450C82C" w14:textId="0FF06A92" w:rsidR="006A55E9" w:rsidRPr="008160F2" w:rsidRDefault="006A55E9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</w:pPr>
      <w:r w:rsidRPr="008160F2">
        <w:rPr>
          <w:rFonts w:ascii="Times New Roman" w:hAnsi="Times New Roman" w:cs="Times New Roman"/>
          <w:color w:val="000000" w:themeColor="text1"/>
          <w:sz w:val="16"/>
          <w:szCs w:val="16"/>
          <w:vertAlign w:val="superscript"/>
          <w:lang w:val="en-AU"/>
        </w:rPr>
        <w:t xml:space="preserve">2 </w:t>
      </w:r>
      <w:r w:rsidRPr="008160F2"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  <w:t>Saudi Aramco: Aramco Research Center – KAUST, Chemicals R&amp;D Lab, Thuwal, Saudi Arabia</w:t>
      </w:r>
    </w:p>
    <w:p w14:paraId="0C3B5607" w14:textId="17AAAAC0" w:rsidR="008160F2" w:rsidRPr="008160F2" w:rsidRDefault="008160F2" w:rsidP="008160F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</w:pPr>
      <w:r w:rsidRPr="008160F2">
        <w:rPr>
          <w:rFonts w:ascii="Times New Roman" w:hAnsi="Times New Roman" w:cs="Times New Roman"/>
          <w:color w:val="000000" w:themeColor="text1"/>
          <w:sz w:val="16"/>
          <w:szCs w:val="16"/>
          <w:vertAlign w:val="superscript"/>
          <w:lang w:val="en-AU"/>
        </w:rPr>
        <w:t>3</w:t>
      </w:r>
      <w:r w:rsidRPr="008160F2">
        <w:rPr>
          <w:rFonts w:ascii="Times New Roman" w:hAnsi="Times New Roman" w:cs="Times New Roman"/>
          <w:color w:val="000000" w:themeColor="text1"/>
          <w:sz w:val="16"/>
          <w:szCs w:val="16"/>
          <w:vertAlign w:val="superscript"/>
          <w:lang w:val="en-AU"/>
        </w:rPr>
        <w:t xml:space="preserve"> </w:t>
      </w:r>
      <w:r w:rsidRPr="008160F2"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  <w:t>Center for Refining and Advanced Chemicals, King Fahd University of Petroleum and Minerals, Dhahran 31261</w:t>
      </w:r>
      <w:r w:rsidRPr="008160F2">
        <w:rPr>
          <w:rFonts w:ascii="Times New Roman" w:hAnsi="Times New Roman" w:cs="Times New Roman"/>
          <w:color w:val="000000" w:themeColor="text1"/>
          <w:sz w:val="16"/>
          <w:szCs w:val="16"/>
          <w:lang w:val="en-AU"/>
        </w:rPr>
        <w:t>, Saudi Arabia</w:t>
      </w:r>
    </w:p>
    <w:p w14:paraId="1535274D" w14:textId="77777777" w:rsidR="008160F2" w:rsidRPr="006A55E9" w:rsidRDefault="008160F2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lang w:val="en-AU"/>
        </w:rPr>
      </w:pPr>
    </w:p>
    <w:p w14:paraId="3A1C1ACC" w14:textId="77777777" w:rsidR="006A55E9" w:rsidRPr="006A55E9" w:rsidRDefault="006A55E9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7B3D87" w14:textId="1A28E9C5" w:rsidR="00F30E2F" w:rsidRDefault="006A55E9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AU"/>
        </w:rPr>
      </w:pPr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Abstract: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 Oligomerization of ethylene to linear alpha olefins is a valuable industrial catalytic process. Conventional non-selective catalysts produce a broad Schulz-Flory distribution of various ethylene oligomers, many of which are low-value. To target on-demand production of </w:t>
      </w:r>
      <w:r w:rsidR="00F30E2F">
        <w:rPr>
          <w:rFonts w:ascii="Times New Roman" w:hAnsi="Times New Roman" w:cs="Times New Roman"/>
          <w:color w:val="000000" w:themeColor="text1"/>
          <w:lang w:val="en-AU"/>
        </w:rPr>
        <w:t xml:space="preserve">valuable 1-octene, 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highly active homogeneous catalysts 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 xml:space="preserve">based on Cr active sites and supported by diphosphinoamine (PNP) ligands 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have been </w:t>
      </w:r>
      <w:r w:rsidR="00F30E2F">
        <w:rPr>
          <w:rFonts w:ascii="Times New Roman" w:hAnsi="Times New Roman" w:cs="Times New Roman"/>
          <w:color w:val="000000" w:themeColor="text1"/>
          <w:lang w:val="en-AU"/>
        </w:rPr>
        <w:t>known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 to selectively </w:t>
      </w:r>
      <w:r w:rsidR="00F30E2F">
        <w:rPr>
          <w:rFonts w:ascii="Times New Roman" w:hAnsi="Times New Roman" w:cs="Times New Roman"/>
          <w:color w:val="000000" w:themeColor="text1"/>
          <w:lang w:val="en-AU"/>
        </w:rPr>
        <w:t>tetramerize ethylene for nearly two decades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. However,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 xml:space="preserve">deployment of these 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catalysts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>is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 hindered economically by inevitable formation of </w:t>
      </w:r>
      <w:r w:rsidR="00F30E2F">
        <w:rPr>
          <w:rFonts w:ascii="Times New Roman" w:hAnsi="Times New Roman" w:cs="Times New Roman"/>
          <w:color w:val="000000" w:themeColor="text1"/>
          <w:lang w:val="en-AU"/>
        </w:rPr>
        <w:t xml:space="preserve">byproducts including 1-hexene, methylcyclopentane, methylenecyclopentane, and 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>polyethylene</w:t>
      </w:r>
      <w:r w:rsidR="00F30E2F">
        <w:rPr>
          <w:rFonts w:ascii="Times New Roman" w:hAnsi="Times New Roman" w:cs="Times New Roman"/>
          <w:color w:val="000000" w:themeColor="text1"/>
          <w:lang w:val="en-AU"/>
        </w:rPr>
        <w:t>, which is especially pernicious as its insolubility requires reactor downtime to remove</w:t>
      </w:r>
      <w:r w:rsidRPr="006A55E9">
        <w:rPr>
          <w:rFonts w:ascii="Times New Roman" w:hAnsi="Times New Roman" w:cs="Times New Roman"/>
          <w:color w:val="000000" w:themeColor="text1"/>
          <w:lang w:val="en-AU"/>
        </w:rPr>
        <w:t xml:space="preserve">. 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 xml:space="preserve">To accelerate catalyst discovery, we have developed several digital chemistry strategies to help identify promising PNP variants. 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(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1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) PNP ligand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 solubility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 is correlated with catalyst activity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. 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>(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2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 xml:space="preserve">) 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C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>alculated thermodynamic stability of PNP ligand against isomerization to bisphosphinoimine (PPN)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, calculated via density functional theory (DFT),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 xml:space="preserve"> is correlated with lower PE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>selectivity.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 xml:space="preserve"> (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>3</w:t>
      </w:r>
      <w:r w:rsidR="004A4043">
        <w:rPr>
          <w:rFonts w:ascii="Times New Roman" w:hAnsi="Times New Roman" w:cs="Times New Roman"/>
          <w:color w:val="000000" w:themeColor="text1"/>
          <w:lang w:val="en-AU"/>
        </w:rPr>
        <w:t>) The steric bulk of the ligand, measured via SambVca buried volume calculations, is correlated with various product selectivities.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 Combining these various digital chemistry guides, we have developed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 xml:space="preserve"> and patented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 novel PNP ligands with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 xml:space="preserve">higher catalytic 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activity, lower PE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>selectivity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, and greater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 xml:space="preserve">overall </w:t>
      </w:r>
      <w:r w:rsidR="00B0528D">
        <w:rPr>
          <w:rFonts w:ascii="Times New Roman" w:hAnsi="Times New Roman" w:cs="Times New Roman"/>
          <w:color w:val="000000" w:themeColor="text1"/>
          <w:lang w:val="en-AU"/>
        </w:rPr>
        <w:t xml:space="preserve">linear alpha olefin </w:t>
      </w:r>
      <w:r w:rsidR="0099004F">
        <w:rPr>
          <w:rFonts w:ascii="Times New Roman" w:hAnsi="Times New Roman" w:cs="Times New Roman"/>
          <w:color w:val="000000" w:themeColor="text1"/>
          <w:lang w:val="en-AU"/>
        </w:rPr>
        <w:t xml:space="preserve">selectivity. </w:t>
      </w:r>
    </w:p>
    <w:p w14:paraId="2E9CE516" w14:textId="540D5183" w:rsidR="0099004F" w:rsidRDefault="0099004F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AU"/>
        </w:rPr>
      </w:pPr>
    </w:p>
    <w:p w14:paraId="1DFCE43C" w14:textId="09DE090A" w:rsidR="0099004F" w:rsidRDefault="0099004F" w:rsidP="006A55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(Time: ~20-30 minutes)</w:t>
      </w:r>
    </w:p>
    <w:p w14:paraId="461874BB" w14:textId="62117A3E" w:rsidR="00E53A4C" w:rsidRPr="004A0B0F" w:rsidRDefault="006A55E9" w:rsidP="004A0B0F">
      <w:r w:rsidRPr="006A5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4A0B0F">
        <w:rPr>
          <w:noProof/>
        </w:rPr>
        <w:lastRenderedPageBreak/>
        <w:drawing>
          <wp:inline distT="0" distB="0" distL="0" distR="0" wp14:anchorId="1AD2733A" wp14:editId="169B39B6">
            <wp:extent cx="4791075" cy="60769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E5">
        <w:t xml:space="preserve"> </w:t>
      </w:r>
    </w:p>
    <w:sectPr w:rsidR="00E53A4C" w:rsidRPr="004A0B0F" w:rsidSect="00F7168E">
      <w:headerReference w:type="default" r:id="rId9"/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555D" w14:textId="77777777" w:rsidR="00A55ADF" w:rsidRDefault="00A55ADF" w:rsidP="00CA5C6B">
      <w:pPr>
        <w:spacing w:after="0" w:line="240" w:lineRule="auto"/>
      </w:pPr>
      <w:r>
        <w:separator/>
      </w:r>
    </w:p>
  </w:endnote>
  <w:endnote w:type="continuationSeparator" w:id="0">
    <w:p w14:paraId="591F0F4B" w14:textId="77777777" w:rsidR="00A55ADF" w:rsidRDefault="00A55AD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B3EF" w14:textId="77777777" w:rsidR="00A55ADF" w:rsidRDefault="00A55ADF" w:rsidP="00CA5C6B">
      <w:pPr>
        <w:spacing w:after="0" w:line="240" w:lineRule="auto"/>
      </w:pPr>
      <w:r>
        <w:separator/>
      </w:r>
    </w:p>
  </w:footnote>
  <w:footnote w:type="continuationSeparator" w:id="0">
    <w:p w14:paraId="2BB3870D" w14:textId="77777777" w:rsidR="00A55ADF" w:rsidRDefault="00A55ADF" w:rsidP="00CA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6CBD" w14:textId="46B07AE3" w:rsidR="00CA5C6B" w:rsidRPr="001C7DF8" w:rsidRDefault="00320D53" w:rsidP="001C7DF8">
    <w:pPr>
      <w:pStyle w:val="Header"/>
      <w:jc w:val="center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>31</w:t>
    </w:r>
    <w:r w:rsidRPr="00320D53">
      <w:rPr>
        <w:b/>
        <w:sz w:val="24"/>
        <w:szCs w:val="24"/>
        <w:vertAlign w:val="superscript"/>
        <w:lang w:val="en-IN"/>
      </w:rPr>
      <w:t>st</w:t>
    </w:r>
    <w:r>
      <w:rPr>
        <w:b/>
        <w:sz w:val="24"/>
        <w:szCs w:val="24"/>
        <w:lang w:val="en-IN"/>
      </w:rPr>
      <w:t xml:space="preserve"> Annual Saudi-Japan Symposium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3975">
    <w:abstractNumId w:val="0"/>
  </w:num>
  <w:num w:numId="2" w16cid:durableId="127163198">
    <w:abstractNumId w:val="1"/>
  </w:num>
  <w:num w:numId="3" w16cid:durableId="2118133824">
    <w:abstractNumId w:val="2"/>
  </w:num>
  <w:num w:numId="4" w16cid:durableId="1296451983">
    <w:abstractNumId w:val="3"/>
  </w:num>
  <w:num w:numId="5" w16cid:durableId="2025015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04488"/>
    <w:rsid w:val="00032269"/>
    <w:rsid w:val="00080CEF"/>
    <w:rsid w:val="000863E5"/>
    <w:rsid w:val="001029C9"/>
    <w:rsid w:val="00105808"/>
    <w:rsid w:val="00155756"/>
    <w:rsid w:val="001771AE"/>
    <w:rsid w:val="001A3943"/>
    <w:rsid w:val="001C7DF8"/>
    <w:rsid w:val="001D7004"/>
    <w:rsid w:val="001F1730"/>
    <w:rsid w:val="001F4E18"/>
    <w:rsid w:val="00205FB1"/>
    <w:rsid w:val="00230653"/>
    <w:rsid w:val="002424E4"/>
    <w:rsid w:val="00261C76"/>
    <w:rsid w:val="002A5A93"/>
    <w:rsid w:val="003019BC"/>
    <w:rsid w:val="003115AA"/>
    <w:rsid w:val="00320D53"/>
    <w:rsid w:val="00337C4A"/>
    <w:rsid w:val="00347D1A"/>
    <w:rsid w:val="00370EA5"/>
    <w:rsid w:val="00374E8B"/>
    <w:rsid w:val="00382A70"/>
    <w:rsid w:val="0042401F"/>
    <w:rsid w:val="004261B6"/>
    <w:rsid w:val="0043423A"/>
    <w:rsid w:val="00444B7A"/>
    <w:rsid w:val="00472BB5"/>
    <w:rsid w:val="00475AE8"/>
    <w:rsid w:val="004A0B0F"/>
    <w:rsid w:val="004A4043"/>
    <w:rsid w:val="004A4569"/>
    <w:rsid w:val="004C1421"/>
    <w:rsid w:val="004C21D3"/>
    <w:rsid w:val="005515EF"/>
    <w:rsid w:val="0055429E"/>
    <w:rsid w:val="00566491"/>
    <w:rsid w:val="00583B47"/>
    <w:rsid w:val="00590B9C"/>
    <w:rsid w:val="0059327E"/>
    <w:rsid w:val="005A0F0E"/>
    <w:rsid w:val="005A3770"/>
    <w:rsid w:val="005B33CE"/>
    <w:rsid w:val="005C2258"/>
    <w:rsid w:val="005C5BC8"/>
    <w:rsid w:val="005D6EC4"/>
    <w:rsid w:val="005F1542"/>
    <w:rsid w:val="00616DED"/>
    <w:rsid w:val="00636162"/>
    <w:rsid w:val="0064547C"/>
    <w:rsid w:val="0067195C"/>
    <w:rsid w:val="006737DD"/>
    <w:rsid w:val="00693F54"/>
    <w:rsid w:val="006A55E9"/>
    <w:rsid w:val="006B275E"/>
    <w:rsid w:val="006B7AD7"/>
    <w:rsid w:val="006D5901"/>
    <w:rsid w:val="006F4473"/>
    <w:rsid w:val="00711727"/>
    <w:rsid w:val="0071253B"/>
    <w:rsid w:val="007413DC"/>
    <w:rsid w:val="00775B5C"/>
    <w:rsid w:val="007D3DB8"/>
    <w:rsid w:val="007E4DC7"/>
    <w:rsid w:val="007F510E"/>
    <w:rsid w:val="008130B5"/>
    <w:rsid w:val="00814F4B"/>
    <w:rsid w:val="008160F2"/>
    <w:rsid w:val="008233DC"/>
    <w:rsid w:val="00835254"/>
    <w:rsid w:val="00836B4A"/>
    <w:rsid w:val="00850B5E"/>
    <w:rsid w:val="00856041"/>
    <w:rsid w:val="00861BD3"/>
    <w:rsid w:val="00884666"/>
    <w:rsid w:val="008852D1"/>
    <w:rsid w:val="008A2E24"/>
    <w:rsid w:val="008A54B2"/>
    <w:rsid w:val="009875E9"/>
    <w:rsid w:val="0098793E"/>
    <w:rsid w:val="0099004F"/>
    <w:rsid w:val="009E1D4F"/>
    <w:rsid w:val="009E1F8C"/>
    <w:rsid w:val="00A00A81"/>
    <w:rsid w:val="00A309D9"/>
    <w:rsid w:val="00A55ADF"/>
    <w:rsid w:val="00A93410"/>
    <w:rsid w:val="00AE3CC8"/>
    <w:rsid w:val="00AF26AF"/>
    <w:rsid w:val="00AF34BB"/>
    <w:rsid w:val="00B0112B"/>
    <w:rsid w:val="00B04837"/>
    <w:rsid w:val="00B0528D"/>
    <w:rsid w:val="00B23C1B"/>
    <w:rsid w:val="00B26EE3"/>
    <w:rsid w:val="00B46B7A"/>
    <w:rsid w:val="00B53CFE"/>
    <w:rsid w:val="00B578DA"/>
    <w:rsid w:val="00B646B4"/>
    <w:rsid w:val="00B7493F"/>
    <w:rsid w:val="00BB6530"/>
    <w:rsid w:val="00BC6025"/>
    <w:rsid w:val="00BE10D2"/>
    <w:rsid w:val="00BE119C"/>
    <w:rsid w:val="00BE5BCE"/>
    <w:rsid w:val="00C022E2"/>
    <w:rsid w:val="00C04098"/>
    <w:rsid w:val="00C312A8"/>
    <w:rsid w:val="00C70DE0"/>
    <w:rsid w:val="00C97AD8"/>
    <w:rsid w:val="00CA26EF"/>
    <w:rsid w:val="00CA5C6B"/>
    <w:rsid w:val="00CB0B19"/>
    <w:rsid w:val="00CB37CB"/>
    <w:rsid w:val="00CC5B42"/>
    <w:rsid w:val="00CC5C81"/>
    <w:rsid w:val="00CE1BE3"/>
    <w:rsid w:val="00CE5D91"/>
    <w:rsid w:val="00D15228"/>
    <w:rsid w:val="00D53FC5"/>
    <w:rsid w:val="00DC0047"/>
    <w:rsid w:val="00DD54C4"/>
    <w:rsid w:val="00DF5FE5"/>
    <w:rsid w:val="00E53A4C"/>
    <w:rsid w:val="00E671DA"/>
    <w:rsid w:val="00E73718"/>
    <w:rsid w:val="00ED41FC"/>
    <w:rsid w:val="00EE3C42"/>
    <w:rsid w:val="00F00122"/>
    <w:rsid w:val="00F22902"/>
    <w:rsid w:val="00F30E2F"/>
    <w:rsid w:val="00F311DA"/>
    <w:rsid w:val="00F34B8C"/>
    <w:rsid w:val="00F57ED8"/>
    <w:rsid w:val="00F632B6"/>
    <w:rsid w:val="00F7168E"/>
    <w:rsid w:val="00FA14F2"/>
    <w:rsid w:val="00FA711E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EF43"/>
  <w15:docId w15:val="{35C84D94-E54E-4FC6-9848-C60BE40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B629-C8BB-44E9-9A7B-D7CA35A0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Lin, Sibo</cp:lastModifiedBy>
  <cp:revision>10</cp:revision>
  <dcterms:created xsi:type="dcterms:W3CDTF">2022-09-06T16:01:00Z</dcterms:created>
  <dcterms:modified xsi:type="dcterms:W3CDTF">2022-09-21T22:04:00Z</dcterms:modified>
</cp:coreProperties>
</file>