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9" w:lineRule="auto"/>
        <w:jc w:val="left"/>
      </w:pPr>
      <w:r>
        <w:rPr>
          <w:rFonts w:ascii="Arial" w:hAnsi="Arial"/>
          <w:b/>
          <w:color w:val="F26C0D"/>
          <w:sz w:val="56"/>
        </w:rPr>
        <w:t>Undergraduate Lab Portal</w:t>
      </w:r>
      <w:r>
        <w:rPr>
          <w:rFonts w:ascii="Arial" w:hAnsi="Arial"/>
          <w:b/>
          <w:color w:val="333333"/>
          <w:sz w:val="42"/>
        </w:rPr>
        <w:t xml:space="preserve"> — Admin</w:t>
        <w:br/>
        <w:t>Priority Requirements</w:t>
      </w:r>
    </w:p>
    <w:p>
      <w:pPr>
        <w:spacing w:before="0" w:after="280" w:line="259" w:lineRule="auto"/>
      </w:pPr>
      <w:r>
        <w:rPr>
          <w:rFonts w:ascii="Calibri" w:hAnsi="Calibri"/>
          <w:color w:val="6C6C6C"/>
          <w:sz w:val="21"/>
        </w:rPr>
        <w:t>Scope: This document selects the 15 most important and time-critical functional requirements and the 15 most important non-functional requirements for the admin module of the Undergraduate Lab Portal. The content follows the same visual style used in the first requirements engineering document.</w:t>
      </w:r>
    </w:p>
    <w:p>
      <w:pPr>
        <w:spacing w:before="120" w:after="80" w:line="259" w:lineRule="auto"/>
      </w:pPr>
      <w:r>
        <w:rPr>
          <w:rFonts w:ascii="Arial" w:hAnsi="Arial"/>
          <w:b/>
          <w:color w:val="F26C0D"/>
          <w:sz w:val="50"/>
        </w:rPr>
        <w:t>Functional Requirements</w:t>
      </w:r>
      <w:r>
        <w:rPr>
          <w:rFonts w:ascii="Arial" w:hAnsi="Arial"/>
          <w:b/>
          <w:i/>
          <w:color w:val="F26C0D"/>
          <w:sz w:val="29"/>
        </w:rPr>
        <w:t xml:space="preserve"> - selected 15 most important and time-critical requirements</w:t>
      </w:r>
    </w:p>
    <w:p>
      <w:pPr>
        <w:spacing w:before="0" w:after="160" w:line="259" w:lineRule="auto"/>
      </w:pPr>
      <w:r>
        <w:rPr>
          <w:rFonts w:ascii="Calibri" w:hAnsi="Calibri"/>
          <w:color w:val="6C6C6C"/>
          <w:sz w:val="21"/>
        </w:rPr>
        <w:t>The table below retains the functional requirements template and focuses on the admin-side requirements that are most urgent for monitoring, approvals, compliance, reporting, and accountability.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Req#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Requirement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Comments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Priority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Date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Reviewed/</w:t>
              <w:br/>
              <w:t>Approved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FR_01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an authenticated admin to access the admin dashboard.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Entry point for all admin functions.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FR_02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the total number of active research projects on the admin dashboard.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Core department-wide research metric.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FR_04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the total number of students currently participating in research roles.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Core participation metric for oversight.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FR_06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a list of professors with open positions.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Supports department monitoring and staffing visibility.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FR_12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a list of pending funding requests submitted by professors.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Primary funding approval queue.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FR_14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the admin to approve a funding request.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Core administrative approval action.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FR_15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the admin to reject a funding request.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Core administrative rejection action.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FR_18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a list of stipend payment requests for students assigned to funded positions.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Primary stipend review queue.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FR_20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the admin to approve a stipend payment request.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Required for controlled financial disbursement.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FR_21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the admin to deny a stipend payment request.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Required when payment conditions are not met.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FR_24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display the safety compliance status of each lab.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Core lab compliance overview.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FR_29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allow the admin to restrict a lab with unresolved compliance issues.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Critical safety enforcement action.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FR_30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notify the admin when a lab certification is expiring or overdue.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Time-sensitive safety alert mechanism.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FR_31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generate a report of research activity for a selected time period.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Required for institutional review and reporting.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FR_42</w:t>
            </w:r>
          </w:p>
        </w:tc>
        <w:tc>
          <w:tcPr>
            <w:tcW w:type="dxa" w:w="37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 system shall record significant platform actions in an audit log.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Supports accountability and investigation.</w:t>
            </w:r>
          </w:p>
        </w:tc>
        <w:tc>
          <w:tcPr>
            <w:tcW w:type="dxa" w:w="7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30/03/2026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Pending</w:t>
            </w:r>
          </w:p>
        </w:tc>
      </w:tr>
    </w:tbl>
    <w:p>
      <w:r>
        <w:br w:type="page"/>
      </w:r>
    </w:p>
    <w:p>
      <w:pPr>
        <w:spacing w:before="120" w:after="80" w:line="259" w:lineRule="auto"/>
      </w:pPr>
      <w:r>
        <w:rPr>
          <w:rFonts w:ascii="Arial" w:hAnsi="Arial"/>
          <w:b/>
          <w:color w:val="F26C0D"/>
          <w:sz w:val="50"/>
        </w:rPr>
        <w:t>Non-Functional Requirements</w:t>
      </w:r>
      <w:r>
        <w:rPr>
          <w:rFonts w:ascii="Arial" w:hAnsi="Arial"/>
          <w:b/>
          <w:i/>
          <w:color w:val="F26C0D"/>
          <w:sz w:val="29"/>
        </w:rPr>
        <w:t xml:space="preserve"> - selected 15 most important and time-critical requirements</w:t>
      </w:r>
    </w:p>
    <w:p>
      <w:pPr>
        <w:spacing w:before="0" w:after="160" w:line="259" w:lineRule="auto"/>
      </w:pPr>
      <w:r>
        <w:rPr>
          <w:rFonts w:ascii="Calibri" w:hAnsi="Calibri"/>
          <w:color w:val="6C6C6C"/>
          <w:sz w:val="21"/>
        </w:rPr>
        <w:t>The following non-functional requirements focus on security, reliability, performance, data protection, and operational control for the admin module. They are listed after the functional requirements as requested.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NFR_01 – </w:t>
      </w:r>
      <w:r>
        <w:rPr>
          <w:rFonts w:ascii="Calibri" w:hAnsi="Calibri"/>
          <w:color w:val="333333"/>
          <w:sz w:val="21"/>
        </w:rPr>
        <w:t>Only authenticated users with the Admin role shall be able to access admin dashboard pages, funding controls, safety controls, reporting features, user management, and audit logs.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NFR_02 – </w:t>
      </w:r>
      <w:r>
        <w:rPr>
          <w:rFonts w:ascii="Calibri" w:hAnsi="Calibri"/>
          <w:color w:val="333333"/>
          <w:sz w:val="21"/>
        </w:rPr>
        <w:t>The system shall store user passwords using a salted cryptographic hash and shall never store passwords in plain text.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NFR_03 – </w:t>
      </w:r>
      <w:r>
        <w:rPr>
          <w:rFonts w:ascii="Calibri" w:hAnsi="Calibri"/>
          <w:color w:val="333333"/>
          <w:sz w:val="21"/>
        </w:rPr>
        <w:t>Audit log entries shall be append-only and shall not be editable through the user interface.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NFR_04 – </w:t>
      </w:r>
      <w:r>
        <w:rPr>
          <w:rFonts w:ascii="Calibri" w:hAnsi="Calibri"/>
          <w:color w:val="333333"/>
          <w:sz w:val="21"/>
        </w:rPr>
        <w:t>The system shall load the admin dashboard within 3 seconds for a dataset containing up to 5,000 research records.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NFR_05 – </w:t>
      </w:r>
      <w:r>
        <w:rPr>
          <w:rFonts w:ascii="Calibri" w:hAnsi="Calibri"/>
          <w:color w:val="333333"/>
          <w:sz w:val="21"/>
        </w:rPr>
        <w:t>The system shall refresh dashboard filter results within 2 seconds for normal semester-level queries.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NFR_06 – </w:t>
      </w:r>
      <w:r>
        <w:rPr>
          <w:rFonts w:ascii="Calibri" w:hAnsi="Calibri"/>
          <w:color w:val="333333"/>
          <w:sz w:val="21"/>
        </w:rPr>
        <w:t>The system shall generate a semester report within 10 seconds for standard department data volumes.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NFR_08 – </w:t>
      </w:r>
      <w:r>
        <w:rPr>
          <w:rFonts w:ascii="Calibri" w:hAnsi="Calibri"/>
          <w:color w:val="333333"/>
          <w:sz w:val="21"/>
        </w:rPr>
        <w:t>The system shall prevent duplicate approval or duplicate rejection of the same funding or stipend request caused by page refresh or repeated submission.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NFR_09 – </w:t>
      </w:r>
      <w:r>
        <w:rPr>
          <w:rFonts w:ascii="Calibri" w:hAnsi="Calibri"/>
          <w:color w:val="333333"/>
          <w:sz w:val="21"/>
        </w:rPr>
        <w:t>Approved funding requests, rejected funding requests, stipend decisions, user-role changes, and lab restriction actions shall be stored in persistent storage immediately after confirmation.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NFR_11 – </w:t>
      </w:r>
      <w:r>
        <w:rPr>
          <w:rFonts w:ascii="Calibri" w:hAnsi="Calibri"/>
          <w:color w:val="333333"/>
          <w:sz w:val="21"/>
        </w:rPr>
        <w:t>The admin module shall work correctly on the latest two stable versions of Chrome, Edge, and Firefox.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NFR_12 – </w:t>
      </w:r>
      <w:r>
        <w:rPr>
          <w:rFonts w:ascii="Calibri" w:hAnsi="Calibri"/>
          <w:color w:val="333333"/>
          <w:sz w:val="21"/>
        </w:rPr>
        <w:t>Safety certification alerts and scheduled report notifications shall be retried at least once if the first delivery attempt fails.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NFR_13 – </w:t>
      </w:r>
      <w:r>
        <w:rPr>
          <w:rFonts w:ascii="Calibri" w:hAnsi="Calibri"/>
          <w:color w:val="333333"/>
          <w:sz w:val="21"/>
        </w:rPr>
        <w:t>Funding history, stipend decisions, compliance actions, and audit logs shall be retained for at least 5 academic years.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NFR_14 – </w:t>
      </w:r>
      <w:r>
        <w:rPr>
          <w:rFonts w:ascii="Calibri" w:hAnsi="Calibri"/>
          <w:color w:val="333333"/>
          <w:sz w:val="21"/>
        </w:rPr>
        <w:t>Student-specific financial or participation data shall only be visible to authorized users whose role permits access to that data.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NFR_15 – </w:t>
      </w:r>
      <w:r>
        <w:rPr>
          <w:rFonts w:ascii="Calibri" w:hAnsi="Calibri"/>
          <w:color w:val="333333"/>
          <w:sz w:val="21"/>
        </w:rPr>
        <w:t>PDF exports shall preserve report headings, tables, and summary values in readable A4 layout, and CSV exports shall preserve row and column structure without truncation.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NFR_17 – </w:t>
      </w:r>
      <w:r>
        <w:rPr>
          <w:rFonts w:ascii="Calibri" w:hAnsi="Calibri"/>
          <w:color w:val="333333"/>
          <w:sz w:val="21"/>
        </w:rPr>
        <w:t>When an admin action fails, the system shall display a clear error message and shall not commit partial data changes.</w:t>
      </w:r>
    </w:p>
    <w:p>
      <w:pPr>
        <w:spacing w:after="100" w:line="259" w:lineRule="auto"/>
        <w:ind w:left="216" w:hanging="216"/>
      </w:pPr>
      <w:r>
        <w:rPr>
          <w:rFonts w:ascii="Calibri" w:hAnsi="Calibri"/>
          <w:b/>
          <w:color w:val="333333"/>
          <w:sz w:val="22"/>
        </w:rPr>
        <w:t xml:space="preserve">NFR_20 – </w:t>
      </w:r>
      <w:r>
        <w:rPr>
          <w:rFonts w:ascii="Calibri" w:hAnsi="Calibri"/>
          <w:color w:val="333333"/>
          <w:sz w:val="21"/>
        </w:rPr>
        <w:t>Once a lab is marked as restricted, the system shall enforce that restriction consistently across all related admin and professor workflows until the restriction is removed.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