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508bc7ec2d68d90dcb54cf83240e45a28c24659"/>
    <w:p>
      <w:pPr>
        <w:pStyle w:val="Heading1"/>
      </w:pPr>
      <w:r>
        <w:t xml:space="preserve">Interim Agreement on Trade between the European Union and the Republic of Chile</w:t>
      </w:r>
    </w:p>
    <w:p>
      <w:pPr>
        <w:pStyle w:val="FirstParagraph"/>
      </w:pPr>
      <w:r>
        <w:rPr>
          <w:b/>
          <w:bCs/>
        </w:rPr>
        <w:t xml:space="preserve">Date</w:t>
      </w:r>
      <w:r>
        <w:t xml:space="preserve">: Date not specified</w:t>
      </w:r>
    </w:p>
    <w:p>
      <w:pPr>
        <w:pStyle w:val="BodyText"/>
      </w:pPr>
      <w:r>
        <w:rPr>
          <w:b/>
          <w:bCs/>
        </w:rPr>
        <w:t xml:space="preserve">Location</w:t>
      </w:r>
      <w:r>
        <w:t xml:space="preserve">: The principal location is Brussels, Belgium and Santiago, Chile.</w:t>
      </w:r>
    </w:p>
    <w:p>
      <w:pPr>
        <w:pStyle w:val="BodyText"/>
      </w:pPr>
      <w:r>
        <w:t xml:space="preserve">Reasoning: The event/document is the</w:t>
      </w:r>
      <w:r>
        <w:t xml:space="preserve"> </w:t>
      </w:r>
      <w:r>
        <w:t xml:space="preserve">“Interim Agreement on Trade between the European Union and the Republic of Chile.”</w:t>
      </w:r>
      <w:r>
        <w:t xml:space="preserve"> </w:t>
      </w:r>
      <w:r>
        <w:t xml:space="preserve">Such agreements are typically negotiated and signed in the capitals or principal administrative centers of the parties involved. For the European Union, this is Brussels, Belgium. For Chile, this is Santiago, Chile. If only one location is required, Brussels, Belgium is the default for EU agreements, but both are principal locations for a bilateral agreement.</w:t>
      </w:r>
    </w:p>
    <w:bookmarkStart w:id="20" w:name="executive-summary"/>
    <w:p>
      <w:pPr>
        <w:pStyle w:val="Heading2"/>
      </w:pPr>
      <w:r>
        <w:t xml:space="preserve">Executive Summary</w:t>
      </w:r>
    </w:p>
    <w:p>
      <w:pPr>
        <w:pStyle w:val="FirstParagraph"/>
      </w:pPr>
      <w:r>
        <w:t xml:space="preserve">Executive summary not available in the source document.</w:t>
      </w:r>
    </w:p>
    <w:bookmarkEnd w:id="20"/>
    <w:bookmarkStart w:id="21" w:name="characteristics"/>
    <w:p>
      <w:pPr>
        <w:pStyle w:val="Heading2"/>
      </w:pPr>
      <w:r>
        <w:t xml:space="preserve">Characteristics</w:t>
      </w:r>
    </w:p>
    <w:p>
      <w:pPr>
        <w:pStyle w:val="Compact"/>
        <w:numPr>
          <w:ilvl w:val="0"/>
          <w:numId w:val="1001"/>
        </w:numPr>
      </w:pPr>
      <w:r>
        <w:t xml:space="preserve">The Interim Agreement on Trade between the European Union and the Republic of Chile is a bilateral agreement focused on trade relations.</w:t>
      </w:r>
    </w:p>
    <w:p>
      <w:pPr>
        <w:pStyle w:val="Compact"/>
        <w:numPr>
          <w:ilvl w:val="0"/>
          <w:numId w:val="1001"/>
        </w:numPr>
      </w:pPr>
      <w:r>
        <w:t xml:space="preserve">It aims to facilitate and regulate trade between the EU and Chile, likely covering areas such as tariffs, market access, and trade in goods and services.</w:t>
      </w:r>
    </w:p>
    <w:p>
      <w:pPr>
        <w:pStyle w:val="Compact"/>
        <w:numPr>
          <w:ilvl w:val="0"/>
          <w:numId w:val="1001"/>
        </w:numPr>
      </w:pPr>
      <w:r>
        <w:t xml:space="preserve">The agreement serves as an interim measure, possibly pending a more comprehensive or permanent trade arrangement.</w:t>
      </w:r>
    </w:p>
    <w:p>
      <w:pPr>
        <w:pStyle w:val="Compact"/>
        <w:numPr>
          <w:ilvl w:val="0"/>
          <w:numId w:val="1001"/>
        </w:numPr>
      </w:pPr>
      <w:r>
        <w:t xml:space="preserve">It is structured with multiple sections and articles, indicating detailed provisions and commitments by both parties.</w:t>
      </w:r>
    </w:p>
    <w:p>
      <w:pPr>
        <w:pStyle w:val="Compact"/>
        <w:numPr>
          <w:ilvl w:val="0"/>
          <w:numId w:val="1001"/>
        </w:numPr>
      </w:pPr>
      <w:r>
        <w:t xml:space="preserve">The agreement is part of a broader context of EU external trade agreements, reflecting the EU’s approach to bilateral trade partnerships.</w:t>
      </w:r>
    </w:p>
    <w:bookmarkEnd w:id="21"/>
    <w:bookmarkStart w:id="22" w:name="actors"/>
    <w:p>
      <w:pPr>
        <w:pStyle w:val="Heading2"/>
      </w:pPr>
      <w:r>
        <w:t xml:space="preserve">Actors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 Member States; Governments</w:t>
            </w:r>
          </w:p>
        </w:tc>
      </w:tr>
      <w:tr>
        <w:tc>
          <w:tcPr/>
          <w:p>
            <w:pPr>
              <w:pStyle w:val="Compact"/>
            </w:pPr>
            <w:r>
              <w:t xml:space="preserve">Economic Actors</w:t>
            </w:r>
          </w:p>
        </w:tc>
        <w:tc>
          <w:tcPr/>
          <w:p>
            <w:pPr>
              <w:pStyle w:val="Compact"/>
            </w:pPr>
            <w:r>
              <w:t xml:space="preserve">Bilateral Projects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Trade; Digital Policy; Digital Regulation; Digital Infrastructure; Digital Platforms; Digital Investment</w:t>
            </w:r>
          </w:p>
        </w:tc>
      </w:tr>
      <w:tr>
        <w:tc>
          <w:tcPr/>
          <w:p>
            <w:pPr>
              <w:pStyle w:val="Compact"/>
            </w:pPr>
            <w:r>
              <w:t xml:space="preserve">Regional &amp; International Cooperation</w:t>
            </w:r>
          </w:p>
        </w:tc>
        <w:tc>
          <w:tcPr/>
          <w:p>
            <w:pPr>
              <w:pStyle w:val="Compact"/>
            </w:pPr>
            <w:r>
              <w:t xml:space="preserve">Digital &amp; Technological Partnerships; EU-CELAC Digital Partnership; Bi-regional Cooperation</w:t>
            </w:r>
          </w:p>
        </w:tc>
      </w:tr>
    </w:tbl>
    <w:bookmarkEnd w:id="23"/>
    <w:bookmarkStart w:id="24" w:name="practical-applications"/>
    <w:p>
      <w:pPr>
        <w:pStyle w:val="Heading2"/>
      </w:pPr>
      <w:r>
        <w:t xml:space="preserve">Practical Applications</w:t>
      </w:r>
    </w:p>
    <w:p>
      <w:pPr>
        <w:pStyle w:val="Compact"/>
        <w:numPr>
          <w:ilvl w:val="0"/>
          <w:numId w:val="1002"/>
        </w:numPr>
      </w:pPr>
      <w:r>
        <w:t xml:space="preserve">The Interim Agreement on Trade between the European Union and the Republic of Chile establishes a bilateral trade agreement that is currently in force, providing a legal framework for trade relations between the EU and Chile.</w:t>
      </w:r>
    </w:p>
    <w:p>
      <w:pPr>
        <w:pStyle w:val="Compact"/>
        <w:numPr>
          <w:ilvl w:val="0"/>
          <w:numId w:val="1002"/>
        </w:numPr>
      </w:pPr>
      <w:r>
        <w:t xml:space="preserve">The agreement includes provisions for the reduction or elimination of tariffs on goods traded between the EU and Chile, facilitating increased market access for exporters from both parties.</w:t>
      </w:r>
    </w:p>
    <w:p>
      <w:pPr>
        <w:pStyle w:val="Compact"/>
        <w:numPr>
          <w:ilvl w:val="0"/>
          <w:numId w:val="1002"/>
        </w:numPr>
      </w:pPr>
      <w:r>
        <w:t xml:space="preserve">The agreement sets out rules of origin, customs procedures, and trade facilitation measures that are actively implemented to streamline and simplify cross-border trade.</w:t>
      </w:r>
    </w:p>
    <w:p>
      <w:pPr>
        <w:pStyle w:val="Compact"/>
        <w:numPr>
          <w:ilvl w:val="0"/>
          <w:numId w:val="1002"/>
        </w:numPr>
      </w:pPr>
      <w:r>
        <w:t xml:space="preserve">The agreement contains established mechanisms for dispute settlement and cooperation on sanitary and phytosanitary measures, technical barriers to trade, and intellectual property rights, which are currently operational.</w:t>
      </w:r>
    </w:p>
    <w:p>
      <w:pPr>
        <w:pStyle w:val="Compact"/>
        <w:numPr>
          <w:ilvl w:val="0"/>
          <w:numId w:val="1002"/>
        </w:numPr>
      </w:pPr>
      <w:r>
        <w:t xml:space="preserve">The agreement provides for ongoing dialogue and cooperation in areas such as sustainable development, labor rights, and environmental protection, with established committees and working groups to oversee implementation.</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2025-06-11T17:23:25Z</dcterms:created>
  <dcterms:modified xsi:type="dcterms:W3CDTF">2025-06-11T17:23:25Z</dcterms:modified>
</cp:coreProperties>
</file>

<file path=docProps/custom.xml><?xml version="1.0" encoding="utf-8"?>
<Properties xmlns="http://schemas.openxmlformats.org/officeDocument/2006/custom-properties" xmlns:vt="http://schemas.openxmlformats.org/officeDocument/2006/docPropsVTypes"/>
</file>