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64396e351d9cf17b1f90e700350abe7b6737022"/>
    <w:p>
      <w:pPr>
        <w:pStyle w:val="Heading1"/>
      </w:pPr>
      <w:r>
        <w:t xml:space="preserve">EuroLat Resolution on Digital Platforms in the Modern Economy (2023)</w:t>
      </w:r>
    </w:p>
    <w:p>
      <w:pPr>
        <w:pStyle w:val="FirstParagraph"/>
      </w:pPr>
      <w:r>
        <w:rPr>
          <w:b/>
          <w:bCs/>
        </w:rPr>
        <w:t xml:space="preserve">Date</w:t>
      </w:r>
      <w:r>
        <w:t xml:space="preserve">: 2023-07-27</w:t>
      </w:r>
    </w:p>
    <w:p>
      <w:pPr>
        <w:pStyle w:val="BodyText"/>
      </w:pPr>
      <w:r>
        <w:rPr>
          <w:b/>
          <w:bCs/>
        </w:rPr>
        <w:t xml:space="preserve">Location</w:t>
      </w:r>
      <w:r>
        <w:t xml:space="preserve">: Madrid, España</w:t>
      </w:r>
    </w:p>
    <w:bookmarkStart w:id="20" w:name="executive-summary"/>
    <w:p>
      <w:pPr>
        <w:pStyle w:val="Heading2"/>
      </w:pPr>
      <w:r>
        <w:t xml:space="preserve">Executive Summary</w:t>
      </w:r>
    </w:p>
    <w:p>
      <w:pPr>
        <w:pStyle w:val="FirstParagraph"/>
      </w:pPr>
      <w:r>
        <w:t xml:space="preserve">The EuroLat Resolution on Digital Platforms in the Modern Economy (July 2023) addresses the rapid growth and transformative impact of digital platforms in Europe and Latin America. It highlights the dominance of US and Chinese platforms, the digital divide in Latin America, and the need for robust digital infrastructure, fair regulation, and digital literacy. The resolution calls for the creation of a secure, competitive digital environment, a common digital market in Latin America and the Caribbean, and harmonized legal frameworks to protect consumers and workers. It emphasizes investment in broadband, digital skills, and fair taxation, while urging action against illegal online content, misinformation, and cybercrime. The resolution also stresses the importance of data protection, competition policy, and international cooperation to ensure inclusive, equitable digital economic development across both regions.</w:t>
      </w:r>
    </w:p>
    <w:bookmarkEnd w:id="20"/>
    <w:bookmarkStart w:id="21" w:name="characteristics"/>
    <w:p>
      <w:pPr>
        <w:pStyle w:val="Heading2"/>
      </w:pPr>
      <w:r>
        <w:t xml:space="preserve">Characteristics</w:t>
      </w:r>
    </w:p>
    <w:p>
      <w:pPr>
        <w:pStyle w:val="Compact"/>
        <w:numPr>
          <w:ilvl w:val="0"/>
          <w:numId w:val="1001"/>
        </w:numPr>
      </w:pPr>
      <w:r>
        <w:t xml:space="preserve">Digital platforms are highly diverse, ranging from global multinationals to local non-profits, and include online marketplaces, social networks, content channels, app stores, payment services, collaborative economy platforms, and search engines.</w:t>
      </w:r>
    </w:p>
    <w:p>
      <w:pPr>
        <w:pStyle w:val="Compact"/>
        <w:numPr>
          <w:ilvl w:val="0"/>
          <w:numId w:val="1001"/>
        </w:numPr>
      </w:pPr>
      <w:r>
        <w:t xml:space="preserve">Key shared characteristics include the use of ICT to enable new forms of user interaction, data collection and utilization, and strong network effects, often leading to market dominance by a few operators.</w:t>
      </w:r>
    </w:p>
    <w:p>
      <w:pPr>
        <w:pStyle w:val="Compact"/>
        <w:numPr>
          <w:ilvl w:val="0"/>
          <w:numId w:val="1001"/>
        </w:numPr>
      </w:pPr>
      <w:r>
        <w:t xml:space="preserve">Digital platforms facilitate business opportunities, employment, and economic growth, especially for SMEs, microenterprises, and startups, by lowering entry barriers to global markets.</w:t>
      </w:r>
    </w:p>
    <w:p>
      <w:pPr>
        <w:pStyle w:val="Compact"/>
        <w:numPr>
          <w:ilvl w:val="0"/>
          <w:numId w:val="1001"/>
        </w:numPr>
      </w:pPr>
      <w:r>
        <w:t xml:space="preserve">There are significant concerns about fair working conditions, social protection, and workers’ rights, as well as the need for regulatory frameworks to ensure transparency, accountability, and competition.</w:t>
      </w:r>
    </w:p>
    <w:p>
      <w:pPr>
        <w:pStyle w:val="Compact"/>
        <w:numPr>
          <w:ilvl w:val="0"/>
          <w:numId w:val="1001"/>
        </w:numPr>
      </w:pPr>
      <w:r>
        <w:t xml:space="preserve">The digital divide remains a challenge, particularly in Latin America and the Caribbean, with disparities in broadband access, especially between urban and rural areas.</w:t>
      </w:r>
    </w:p>
    <w:p>
      <w:pPr>
        <w:pStyle w:val="Compact"/>
        <w:numPr>
          <w:ilvl w:val="0"/>
          <w:numId w:val="1001"/>
        </w:numPr>
      </w:pPr>
      <w:r>
        <w:t xml:space="preserve">The resolution emphasizes the need for secure infrastructure, digital literacy, fair taxation, consumer protection (especially regarding data privacy), and international cooperation to address challenges and maximize the benefits of digital platforms.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European Parliament; European Commission; EU Member States; European Council; Parliament Latinoamericano; Parlamento Centroamericano; Parlamento Andino; Parlamento del Mercosur; Comisión de Representantes Permanentes del Mercosur; Secretaría Permanente del Sistema Económico Latinoamericano y del Caribe; Organización de los Estados Americanos; Naciones Unidas; Policy Level Representatives; Governments; Government Officials</w:t>
            </w:r>
          </w:p>
        </w:tc>
      </w:tr>
      <w:tr>
        <w:tc>
          <w:tcPr/>
          <w:p>
            <w:pPr>
              <w:pStyle w:val="Compact"/>
            </w:pPr>
            <w:r>
              <w:t xml:space="preserve">Economic Actors</w:t>
            </w:r>
          </w:p>
        </w:tc>
        <w:tc>
          <w:tcPr/>
          <w:p>
            <w:pPr>
              <w:pStyle w:val="Compact"/>
            </w:pPr>
            <w:r>
              <w:t xml:space="preserve">Organisation for Economic Cooperation and Development; Development Bank of Latin America and the Caribbean; Digital Companies; ICT Companies; Telecommunication Companies; Industry Actors; Private Sector Representatives; World Bank</w:t>
            </w:r>
          </w:p>
        </w:tc>
      </w:tr>
      <w:tr>
        <w:tc>
          <w:tcPr/>
          <w:p>
            <w:pPr>
              <w:pStyle w:val="Compact"/>
            </w:pPr>
            <w:r>
              <w:t xml:space="preserve">Research and Innovation Actors</w:t>
            </w:r>
          </w:p>
        </w:tc>
        <w:tc>
          <w:tcPr/>
          <w:p>
            <w:pPr>
              <w:pStyle w:val="Compact"/>
            </w:pPr>
            <w:r>
              <w:t xml:space="preserve">CEPAL; Research Performing Organisations; Technology Organisations; Digital for Development Hub; EU-LAC Digital Alliance; Universities; Academic Institutions</w:t>
            </w:r>
          </w:p>
        </w:tc>
      </w:tr>
      <w:tr>
        <w:tc>
          <w:tcPr/>
          <w:p>
            <w:pPr>
              <w:pStyle w:val="Compact"/>
            </w:pPr>
            <w:r>
              <w:t xml:space="preserve">Civil Society Actors</w:t>
            </w:r>
          </w:p>
        </w:tc>
        <w:tc>
          <w:tcPr/>
          <w:p>
            <w:pPr>
              <w:pStyle w:val="Compact"/>
            </w:pPr>
            <w:r>
              <w:t xml:space="preserve">Civil Society Organisations; Non-governmental Institutions; Digital Literacy Initiatives; Digital Training and Education Providers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Platforms; Digital Economy; Digital Infrastructure; Digital Trade; Digital Skills Development; Digital Acceleration; Digital Agenda; Digital Policy; Digital Ecosystem; Digital Regulation; Digital Transitions</w:t>
            </w:r>
          </w:p>
        </w:tc>
      </w:tr>
      <w:tr>
        <w:tc>
          <w:tcPr/>
          <w:p>
            <w:pPr>
              <w:pStyle w:val="Compact"/>
            </w:pPr>
            <w:r>
              <w:t xml:space="preserve">Data &amp; Governance</w:t>
            </w:r>
          </w:p>
        </w:tc>
        <w:tc>
          <w:tcPr/>
          <w:p>
            <w:pPr>
              <w:pStyle w:val="Compact"/>
            </w:pPr>
            <w:r>
              <w:t xml:space="preserve">Data Protection; Digital Governance; E-Governance; Cybersecurity; Digital Rights; Internet Governance; Data Governance; Digital Ethics</w:t>
            </w:r>
          </w:p>
        </w:tc>
      </w:tr>
      <w:tr>
        <w:tc>
          <w:tcPr/>
          <w:p>
            <w:pPr>
              <w:pStyle w:val="Compact"/>
            </w:pPr>
            <w:r>
              <w:t xml:space="preserve">Inclusion &amp; Social Development</w:t>
            </w:r>
          </w:p>
        </w:tc>
        <w:tc>
          <w:tcPr/>
          <w:p>
            <w:pPr>
              <w:pStyle w:val="Compact"/>
            </w:pPr>
            <w:r>
              <w:t xml:space="preserve">Digital Inclusion; Connectivity; Digital Education</w:t>
            </w:r>
          </w:p>
        </w:tc>
      </w:tr>
      <w:tr>
        <w:tc>
          <w:tcPr/>
          <w:p>
            <w:pPr>
              <w:pStyle w:val="Compact"/>
            </w:pPr>
            <w:r>
              <w:t xml:space="preserve">Regional &amp; International Cooperation</w:t>
            </w:r>
          </w:p>
        </w:tc>
        <w:tc>
          <w:tcPr/>
          <w:p>
            <w:pPr>
              <w:pStyle w:val="Compact"/>
            </w:pPr>
            <w:r>
              <w:t xml:space="preserve">EU-LAC Digital Alliance; Bi-regional Cooperation; Global Digital Cooperation; Multilateralism; Digital &amp; Technological Partnerships</w:t>
            </w:r>
          </w:p>
        </w:tc>
      </w:tr>
    </w:tbl>
    <w:bookmarkEnd w:id="23"/>
    <w:bookmarkStart w:id="24" w:name="practical-applications"/>
    <w:p>
      <w:pPr>
        <w:pStyle w:val="Heading2"/>
      </w:pPr>
      <w:r>
        <w:t xml:space="preserve">Practical Applications</w:t>
      </w:r>
    </w:p>
    <w:p>
      <w:pPr>
        <w:pStyle w:val="Compact"/>
        <w:numPr>
          <w:ilvl w:val="0"/>
          <w:numId w:val="1002"/>
        </w:numPr>
      </w:pPr>
      <w:r>
        <w:t xml:space="preserve">In December 2021, the European Union launched the</w:t>
      </w:r>
      <w:r>
        <w:t xml:space="preserve"> </w:t>
      </w:r>
      <w:r>
        <w:t xml:space="preserve">“Digital for Development”</w:t>
      </w:r>
      <w:r>
        <w:t xml:space="preserve"> </w:t>
      </w:r>
      <w:r>
        <w:t xml:space="preserve">(D4D) platform for Latin America and the Caribbean to boost global cooperation in digital markets.</w:t>
      </w:r>
    </w:p>
    <w:p>
      <w:pPr>
        <w:pStyle w:val="Compact"/>
        <w:numPr>
          <w:ilvl w:val="0"/>
          <w:numId w:val="1002"/>
        </w:numPr>
      </w:pPr>
      <w:r>
        <w:t xml:space="preserve">The European Union and Latin America and the Caribbean are participating in ongoing multilateral negotiations at the World Trade Organization (WTO) on e-commerce, with a broad membership and an ambitious negotiation agenda.</w:t>
      </w:r>
    </w:p>
    <w:p>
      <w:pPr>
        <w:pStyle w:val="Compact"/>
        <w:numPr>
          <w:ilvl w:val="0"/>
          <w:numId w:val="1002"/>
        </w:numPr>
      </w:pPr>
      <w:r>
        <w:t xml:space="preserve">The OECD agreement on a two-pillar approach for digital economy taxation has been reached, with the EU and Latin America and the Caribbean coordinating efforts for its effective implementation.</w:t>
      </w:r>
    </w:p>
    <w:p>
      <w:pPr>
        <w:pStyle w:val="Compact"/>
        <w:numPr>
          <w:ilvl w:val="0"/>
          <w:numId w:val="1002"/>
        </w:numPr>
      </w:pPr>
      <w:r>
        <w:t xml:space="preserve">National broadband infrastructure plans are being implemented to maximize the potential of broadband for economic growth, competitiveness, and innovation, using a mix of legislation, public policy, funding mechanisms, and expanded coverage.</w:t>
      </w:r>
    </w:p>
    <w:p>
      <w:pPr>
        <w:pStyle w:val="Compact"/>
        <w:numPr>
          <w:ilvl w:val="0"/>
          <w:numId w:val="1002"/>
        </w:numPr>
      </w:pPr>
      <w:r>
        <w:t xml:space="preserve">Existing funding mechanisms, including access to venture capital, banks, public funds, and crowdfunding, are being used to support the development and expansion of digital platforms and infrastructure.</w:t>
      </w:r>
    </w:p>
    <w:p>
      <w:pPr>
        <w:pStyle w:val="Compact"/>
        <w:numPr>
          <w:ilvl w:val="0"/>
          <w:numId w:val="1002"/>
        </w:numPr>
      </w:pPr>
      <w:r>
        <w:t xml:space="preserve">The General Data Protection Regulation (GDPR) is being enforced in the EU to protect consumer privacy and data in the digital platform economy.</w:t>
      </w:r>
    </w:p>
    <w:p>
      <w:pPr>
        <w:pStyle w:val="Compact"/>
        <w:numPr>
          <w:ilvl w:val="0"/>
          <w:numId w:val="1002"/>
        </w:numPr>
      </w:pPr>
      <w:r>
        <w:t xml:space="preserve">The application of competition rules is being strengthened to address market dominance and protect consumers and small businesses in digital markets.</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2025-06-11T17:48:35Z</dcterms:created>
  <dcterms:modified xsi:type="dcterms:W3CDTF">2025-06-11T17:48:35Z</dcterms:modified>
</cp:coreProperties>
</file>

<file path=docProps/custom.xml><?xml version="1.0" encoding="utf-8"?>
<Properties xmlns="http://schemas.openxmlformats.org/officeDocument/2006/custom-properties" xmlns:vt="http://schemas.openxmlformats.org/officeDocument/2006/docPropsVTypes"/>
</file>