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54041b6ade3d04f06cb80e4d89270b778a16d0"/>
    <w:p>
      <w:pPr>
        <w:pStyle w:val="Heading1"/>
      </w:pPr>
      <w:r>
        <w:t xml:space="preserve">EU-LAC Statement on Converging Digital Policy and Regulatory Frameworks for AI</w:t>
      </w:r>
    </w:p>
    <w:p>
      <w:pPr>
        <w:pStyle w:val="FirstParagraph"/>
      </w:pPr>
      <w:r>
        <w:rPr>
          <w:b/>
          <w:bCs/>
        </w:rPr>
        <w:t xml:space="preserve">Date</w:t>
      </w:r>
      <w:r>
        <w:t xml:space="preserve">: 2023-11-16</w:t>
      </w:r>
    </w:p>
    <w:p>
      <w:pPr>
        <w:pStyle w:val="BodyText"/>
      </w:pPr>
      <w:r>
        <w:rPr>
          <w:b/>
          <w:bCs/>
        </w:rPr>
        <w:t xml:space="preserve">Location</w:t>
      </w:r>
      <w:r>
        <w:t xml:space="preserve">: Madrid, Spain</w:t>
      </w:r>
    </w:p>
    <w:bookmarkStart w:id="20" w:name="executive-summary"/>
    <w:p>
      <w:pPr>
        <w:pStyle w:val="Heading2"/>
      </w:pPr>
      <w:r>
        <w:t xml:space="preserve">Executive Summary</w:t>
      </w:r>
    </w:p>
    <w:p>
      <w:pPr>
        <w:pStyle w:val="FirstParagraph"/>
      </w:pPr>
      <w:r>
        <w:t xml:space="preserve">On November 16, 2023, during the AI Alliance Assembly in Madrid, representatives from select EU and Latin American and Caribbean (LAC) countries reaffirmed their commitment to the EU-LAC Digital Alliance, aiming to reinforce and converge digital policy and regulatory frameworks on artificial intelligence (AI). The statement highlights the importance of exchanging best practices, fostering innovation across linguistic and cultural contexts, and aligning with ethical guidelines such as those from UNESCO. The group supports the development of regulatory sandboxes and regular dialogue to ensure AI regulation promotes innovation, human capital, and infrastructure while safeguarding human rights. A bi-regional investment package will support these initiatives, with flexibility to address local needs. The participating states commit to acting as forerunners in sharing regulatory experiences and supporting the responsible, inclusive, and trustworthy development of AI, particularly benefiting startups and SMEs.</w:t>
      </w:r>
    </w:p>
    <w:bookmarkEnd w:id="20"/>
    <w:bookmarkStart w:id="21" w:name="characteristics"/>
    <w:p>
      <w:pPr>
        <w:pStyle w:val="Heading2"/>
      </w:pPr>
      <w:r>
        <w:t xml:space="preserve">Characteristics</w:t>
      </w:r>
    </w:p>
    <w:p>
      <w:pPr>
        <w:pStyle w:val="Compact"/>
        <w:numPr>
          <w:ilvl w:val="0"/>
          <w:numId w:val="1001"/>
        </w:numPr>
      </w:pPr>
      <w:r>
        <w:t xml:space="preserve">Promotes exchange of best practices and operational regulatory measures on AI, including governance mechanisms, among EU and LAC countries.</w:t>
      </w:r>
    </w:p>
    <w:p>
      <w:pPr>
        <w:pStyle w:val="Compact"/>
        <w:numPr>
          <w:ilvl w:val="0"/>
          <w:numId w:val="1001"/>
        </w:numPr>
      </w:pPr>
      <w:r>
        <w:t xml:space="preserve">Supports convergence of digital policy and regulatory frameworks on AI, with regular dialogue to foster innovation, human capital, infrastructure, and respect for human rights.</w:t>
      </w:r>
    </w:p>
    <w:p>
      <w:pPr>
        <w:pStyle w:val="Compact"/>
        <w:numPr>
          <w:ilvl w:val="0"/>
          <w:numId w:val="1001"/>
        </w:numPr>
      </w:pPr>
      <w:r>
        <w:t xml:space="preserve">Encourages development and use of regulatory sandboxes and accelerators to support innovative and trustworthy AI, especially for startups and SMEs.</w:t>
      </w:r>
    </w:p>
    <w:p>
      <w:pPr>
        <w:pStyle w:val="Compact"/>
        <w:numPr>
          <w:ilvl w:val="0"/>
          <w:numId w:val="1001"/>
        </w:numPr>
      </w:pPr>
      <w:r>
        <w:t xml:space="preserve">Emphasizes inclusivity by fostering AI development across linguistic diversities, particularly in Spanish, Portuguese, and other official EU languages.</w:t>
      </w:r>
    </w:p>
    <w:p>
      <w:pPr>
        <w:pStyle w:val="Compact"/>
        <w:numPr>
          <w:ilvl w:val="0"/>
          <w:numId w:val="1001"/>
        </w:numPr>
      </w:pPr>
      <w:r>
        <w:t xml:space="preserve">Recommends considering UNESCO’s ethical guidelines for responsible and inclusive AI, especially in Latin America and the Caribbean.</w:t>
      </w:r>
    </w:p>
    <w:p>
      <w:pPr>
        <w:pStyle w:val="Compact"/>
        <w:numPr>
          <w:ilvl w:val="0"/>
          <w:numId w:val="1001"/>
        </w:numPr>
      </w:pPr>
      <w:r>
        <w:t xml:space="preserve">Provides for a bi-regional investment package, with allocation tailored to local contexts, needs, and opportunities.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Governments; European Union; EU Member States; European Commission; Council of the EU</w:t>
            </w:r>
          </w:p>
        </w:tc>
      </w:tr>
      <w:tr>
        <w:tc>
          <w:tcPr/>
          <w:p>
            <w:pPr>
              <w:pStyle w:val="Compact"/>
            </w:pPr>
            <w:r>
              <w:t xml:space="preserve">Research and Innovation Actors</w:t>
            </w:r>
          </w:p>
        </w:tc>
        <w:tc>
          <w:tcPr/>
          <w:p>
            <w:pPr>
              <w:pStyle w:val="Compact"/>
            </w:pPr>
            <w:r>
              <w:t xml:space="preserve">EU-LAC Digital Alliance</w:t>
            </w:r>
          </w:p>
        </w:tc>
      </w:tr>
      <w:tr>
        <w:tc>
          <w:tcPr/>
          <w:p>
            <w:pPr>
              <w:pStyle w:val="Compact"/>
            </w:pPr>
            <w:r>
              <w:t xml:space="preserve">Civil Society Actors</w:t>
            </w:r>
          </w:p>
        </w:tc>
        <w:tc>
          <w:tcPr/>
          <w:p>
            <w:pPr>
              <w:pStyle w:val="Compact"/>
            </w:pPr>
            <w:r>
              <w:t xml:space="preserve">UNESCO</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 Digital &amp; Technological Partnerships</w:t>
            </w:r>
          </w:p>
        </w:tc>
      </w:tr>
      <w:tr>
        <w:tc>
          <w:tcPr/>
          <w:p>
            <w:pPr>
              <w:pStyle w:val="Compact"/>
            </w:pPr>
            <w:r>
              <w:t xml:space="preserve">Digital Transformation &amp; Strategy</w:t>
            </w:r>
          </w:p>
        </w:tc>
        <w:tc>
          <w:tcPr/>
          <w:p>
            <w:pPr>
              <w:pStyle w:val="Compact"/>
            </w:pPr>
            <w:r>
              <w:t xml:space="preserve">Digital Policy; Digital Regulation; Digital Investment</w:t>
            </w:r>
          </w:p>
        </w:tc>
      </w:tr>
      <w:tr>
        <w:tc>
          <w:tcPr/>
          <w:p>
            <w:pPr>
              <w:pStyle w:val="Compact"/>
            </w:pPr>
            <w:r>
              <w:t xml:space="preserve">Technology &amp; Innovation</w:t>
            </w:r>
          </w:p>
        </w:tc>
        <w:tc>
          <w:tcPr/>
          <w:p>
            <w:pPr>
              <w:pStyle w:val="Compact"/>
            </w:pPr>
            <w:r>
              <w:t xml:space="preserve">Artificial Intelligence; AI Ethics; Tech-Driven Solutions</w:t>
            </w:r>
          </w:p>
        </w:tc>
      </w:tr>
      <w:tr>
        <w:tc>
          <w:tcPr/>
          <w:p>
            <w:pPr>
              <w:pStyle w:val="Compact"/>
            </w:pPr>
            <w:r>
              <w:t xml:space="preserve">Data &amp; Governance</w:t>
            </w:r>
          </w:p>
        </w:tc>
        <w:tc>
          <w:tcPr/>
          <w:p>
            <w:pPr>
              <w:pStyle w:val="Compact"/>
            </w:pPr>
            <w:r>
              <w:t xml:space="preserve">Digital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The EU-LAC Digital Alliance has been established as a framework for human-centric digital cooperation, including the reinforcement and promotion of convergence of digital policy and regulatory frameworks, particularly in AI.</w:t>
      </w:r>
    </w:p>
    <w:p>
      <w:pPr>
        <w:pStyle w:val="Compact"/>
        <w:numPr>
          <w:ilvl w:val="0"/>
          <w:numId w:val="1002"/>
        </w:numPr>
      </w:pPr>
      <w:r>
        <w:t xml:space="preserve">A bi-regional investment package exists for the implementation of the Digital Alliance, with states jointly defining the allocation of Digital Alliance investment for activities related to AI policy and regulatory convergence.</w:t>
      </w:r>
    </w:p>
    <w:p>
      <w:pPr>
        <w:pStyle w:val="Compact"/>
        <w:numPr>
          <w:ilvl w:val="0"/>
          <w:numId w:val="1002"/>
        </w:numPr>
      </w:pPr>
      <w:r>
        <w:t xml:space="preserve">Participating states are actively exchanging best practices and sharing operational regulatory measures and guidelines on AI, including governance mechanisms for implementing and monitoring AI regulation.</w:t>
      </w:r>
    </w:p>
    <w:p>
      <w:pPr>
        <w:pStyle w:val="Compact"/>
        <w:numPr>
          <w:ilvl w:val="0"/>
          <w:numId w:val="1002"/>
        </w:numPr>
      </w:pPr>
      <w:r>
        <w:t xml:space="preserve">Regular dialogue is being maintained among participating states to exchange information and promote convergence of digital policy and regulatory frameworks on AI, with a focus on fostering innovation, human capital, infrastructure, and the protection of human rights.</w:t>
      </w:r>
    </w:p>
    <w:p>
      <w:pPr>
        <w:pStyle w:val="Compact"/>
        <w:numPr>
          <w:ilvl w:val="0"/>
          <w:numId w:val="1002"/>
        </w:numPr>
      </w:pPr>
      <w:r>
        <w:t xml:space="preserve">The EU Regulation on AI, which includes the creation of regulatory sandboxes for the development and testing of innovative AI systems under competent authority supervision, is being implemented and shared as a model within the Alliance.</w:t>
      </w:r>
    </w:p>
    <w:p>
      <w:pPr>
        <w:pStyle w:val="Compact"/>
        <w:numPr>
          <w:ilvl w:val="0"/>
          <w:numId w:val="1002"/>
        </w:numPr>
      </w:pPr>
      <w:r>
        <w:t xml:space="preserve">States are fostering an environment for AI development across linguistic diversities, particularly in Spanish, Portuguese, and other official EU languages, to ensure inclusivity and innovation tailored to different communities.</w:t>
      </w:r>
    </w:p>
    <w:p>
      <w:pPr>
        <w:pStyle w:val="Compact"/>
        <w:numPr>
          <w:ilvl w:val="0"/>
          <w:numId w:val="1002"/>
        </w:numPr>
      </w:pPr>
      <w:r>
        <w:t xml:space="preserve">States are considering the implementation of sandboxes for innovative and trustworthy AI, as well as accelerators, and are sharing good practices and lessons learned to support innovative startups and SMEs in creating trustworthy AI.</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2025-06-11T18:02:10Z</dcterms:created>
  <dcterms:modified xsi:type="dcterms:W3CDTF">2025-06-11T18:02:10Z</dcterms:modified>
</cp:coreProperties>
</file>

<file path=docProps/custom.xml><?xml version="1.0" encoding="utf-8"?>
<Properties xmlns="http://schemas.openxmlformats.org/officeDocument/2006/custom-properties" xmlns:vt="http://schemas.openxmlformats.org/officeDocument/2006/docPropsVTypes"/>
</file>