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ff9291e1878cf59cea45c77cdb6237cc7ad026"/>
    <w:p>
      <w:pPr>
        <w:pStyle w:val="Heading1"/>
      </w:pPr>
      <w:r>
        <w:t xml:space="preserve">Joint Communiqué of the Presidents of MERCOSUR States Parties and Bolivia – LXIII MERCOSUR Summit, December 2023</w:t>
      </w:r>
    </w:p>
    <w:p>
      <w:pPr>
        <w:pStyle w:val="FirstParagraph"/>
      </w:pPr>
      <w:r>
        <w:rPr>
          <w:b/>
          <w:bCs/>
        </w:rPr>
        <w:t xml:space="preserve">Date</w:t>
      </w:r>
      <w:r>
        <w:t xml:space="preserve">: 2023-12-07</w:t>
      </w:r>
    </w:p>
    <w:p>
      <w:pPr>
        <w:pStyle w:val="BodyText"/>
      </w:pPr>
      <w:r>
        <w:rPr>
          <w:b/>
          <w:bCs/>
        </w:rPr>
        <w:t xml:space="preserve">Location</w:t>
      </w:r>
      <w:r>
        <w:t xml:space="preserve">: Rio de Janeiro, Brazil</w:t>
      </w:r>
    </w:p>
    <w:bookmarkStart w:id="20" w:name="executive-summary"/>
    <w:p>
      <w:pPr>
        <w:pStyle w:val="Heading2"/>
      </w:pPr>
      <w:r>
        <w:t xml:space="preserve">Executive Summary</w:t>
      </w:r>
    </w:p>
    <w:p>
      <w:pPr>
        <w:pStyle w:val="FirstParagraph"/>
      </w:pPr>
      <w:r>
        <w:t xml:space="preserve">The LXIII MERCOSUR Summit held in Rio de Janeiro on December 7, 2023, gathered the presidents of Brazil, Argentina, Paraguay, Uruguay, and Bolivia (in accession process) to review integration progress and set 2024 priorities. Key outcomes include extending the Common External Tariff review, implementing new Rules of Origin, and advancing customs facilitation and sector-specific trade issues. The summit emphasized universal health access, launched the first MERCOSUR Epidemiological Bulletin, and supported the Local Border Towns Agreement to ease cross-border mobility. Progress was made on cybersecurity cooperation and e-commerce agreements. Externally, MERCOSUR signed a Free Trade Agreement with Singapore, reaffirmed commitments to conclude agreements with the EU and EFTA, and advanced talks with several Latin American and global partners. The bloc also committed to strengthening democracy, human rights, regional energy integration, and science and technology cooperation, while maintaining the FOCEM fund to address structural asymmetries.</w:t>
      </w:r>
    </w:p>
    <w:bookmarkEnd w:id="20"/>
    <w:bookmarkStart w:id="21" w:name="characteristics"/>
    <w:p>
      <w:pPr>
        <w:pStyle w:val="Heading2"/>
      </w:pPr>
      <w:r>
        <w:t xml:space="preserve">Characteristics</w:t>
      </w:r>
    </w:p>
    <w:p>
      <w:pPr>
        <w:pStyle w:val="Compact"/>
        <w:numPr>
          <w:ilvl w:val="0"/>
          <w:numId w:val="1001"/>
        </w:numPr>
      </w:pPr>
      <w:r>
        <w:t xml:space="preserve">MERCOSUR leaders emphasized the need to revitalize the bloc with a pragmatic, integrated approach, reaffirming commitment to democracy, human rights, and social participation.</w:t>
      </w:r>
    </w:p>
    <w:p>
      <w:pPr>
        <w:pStyle w:val="Compact"/>
        <w:numPr>
          <w:ilvl w:val="0"/>
          <w:numId w:val="1001"/>
        </w:numPr>
      </w:pPr>
      <w:r>
        <w:t xml:space="preserve">Economic priorities include modernizing the Common External Tariff, implementing new Rules of Origin, enhancing customs facilitation, and advancing sector-specific trade issues (automotive, sugar, organic products).</w:t>
      </w:r>
    </w:p>
    <w:p>
      <w:pPr>
        <w:pStyle w:val="Compact"/>
        <w:numPr>
          <w:ilvl w:val="0"/>
          <w:numId w:val="1001"/>
        </w:numPr>
      </w:pPr>
      <w:r>
        <w:t xml:space="preserve">Health cooperation was strengthened with universal access goals, joint pandemic treaty positions, and the launch of the MERCOSUR Epidemiological Bulletin.</w:t>
      </w:r>
    </w:p>
    <w:p>
      <w:pPr>
        <w:pStyle w:val="Compact"/>
        <w:numPr>
          <w:ilvl w:val="0"/>
          <w:numId w:val="1001"/>
        </w:numPr>
      </w:pPr>
      <w:r>
        <w:t xml:space="preserve">Digital agenda progress includes cybersecurity cooperation, mapping digital regulations, and ratifying the e-commerce agreement.</w:t>
      </w:r>
    </w:p>
    <w:p>
      <w:pPr>
        <w:pStyle w:val="Compact"/>
        <w:numPr>
          <w:ilvl w:val="0"/>
          <w:numId w:val="1001"/>
        </w:numPr>
      </w:pPr>
      <w:r>
        <w:t xml:space="preserve">External relations focus on concluding trade agreements with the EU, EFTA, and Singapore (first Asia-Pacific partner), and advancing talks with Latin American and global partners.</w:t>
      </w:r>
    </w:p>
    <w:p>
      <w:pPr>
        <w:pStyle w:val="Compact"/>
        <w:numPr>
          <w:ilvl w:val="0"/>
          <w:numId w:val="1001"/>
        </w:numPr>
      </w:pPr>
      <w:r>
        <w:t xml:space="preserve">Commitment to deepen regional energy integration, maintain the FOCEM fund for structural convergence, and promote science, technology, and innovation initiatives.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Southern Common Market; Community of Portuguese Language Countries; Organisation of Ibero-American States; United Nations</w:t>
            </w:r>
          </w:p>
        </w:tc>
      </w:tr>
      <w:tr>
        <w:tc>
          <w:tcPr/>
          <w:p>
            <w:pPr>
              <w:pStyle w:val="Compact"/>
            </w:pPr>
            <w:r>
              <w:t xml:space="preserve">Economic Actors</w:t>
            </w:r>
          </w:p>
        </w:tc>
        <w:tc>
          <w:tcPr/>
          <w:p>
            <w:pPr>
              <w:pStyle w:val="Compact"/>
            </w:pPr>
            <w:r>
              <w:t xml:space="preserve">Private Sector Representatives; Industry Actors; Private Sector Intermediaries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Policy; Digital Regulation; Digital Economy</w:t>
            </w:r>
          </w:p>
        </w:tc>
      </w:tr>
      <w:tr>
        <w:tc>
          <w:tcPr/>
          <w:p>
            <w:pPr>
              <w:pStyle w:val="Compact"/>
            </w:pPr>
            <w:r>
              <w:t xml:space="preserve">Technology &amp; Innovation</w:t>
            </w:r>
          </w:p>
        </w:tc>
        <w:tc>
          <w:tcPr/>
          <w:p>
            <w:pPr>
              <w:pStyle w:val="Compact"/>
            </w:pPr>
            <w:r>
              <w:t xml:space="preserve">ICT Innovation</w:t>
            </w:r>
          </w:p>
        </w:tc>
      </w:tr>
      <w:tr>
        <w:tc>
          <w:tcPr/>
          <w:p>
            <w:pPr>
              <w:pStyle w:val="Compact"/>
            </w:pPr>
            <w:r>
              <w:t xml:space="preserve">Data &amp; Governance</w:t>
            </w:r>
          </w:p>
        </w:tc>
        <w:tc>
          <w:tcPr/>
          <w:p>
            <w:pPr>
              <w:pStyle w:val="Compact"/>
            </w:pPr>
            <w:r>
              <w:t xml:space="preserve">Digital Governance; Cybersecurity</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Extension of the mandate for the Group ad hoc to examine the consistency and dispersion of the MERCOSUR Common External Tariff (CET) for one year to modernize the tariff structure.</w:t>
      </w:r>
    </w:p>
    <w:p>
      <w:pPr>
        <w:pStyle w:val="Compact"/>
        <w:numPr>
          <w:ilvl w:val="0"/>
          <w:numId w:val="1002"/>
        </w:numPr>
      </w:pPr>
      <w:r>
        <w:t xml:space="preserve">Implementation of the new MERCOSUR Rules of Origin (ROM) concluded in July 2023 to simplify and adapt trade rules.</w:t>
      </w:r>
    </w:p>
    <w:p>
      <w:pPr>
        <w:pStyle w:val="Compact"/>
        <w:numPr>
          <w:ilvl w:val="0"/>
          <w:numId w:val="1002"/>
        </w:numPr>
      </w:pPr>
      <w:r>
        <w:t xml:space="preserve">Ongoing work to improve customs facilitation and trade statistics through strengthening the SECEM system.</w:t>
      </w:r>
    </w:p>
    <w:p>
      <w:pPr>
        <w:pStyle w:val="Compact"/>
        <w:numPr>
          <w:ilvl w:val="0"/>
          <w:numId w:val="1002"/>
        </w:numPr>
      </w:pPr>
      <w:r>
        <w:t xml:space="preserve">Continuation of sector-specific initiatives including automotive, sugar, and organic products, with the creation of the Commission of Specialists in Organic Production (CEPOR) to promote trade and regulatory harmonization.</w:t>
      </w:r>
    </w:p>
    <w:p>
      <w:pPr>
        <w:pStyle w:val="Compact"/>
        <w:numPr>
          <w:ilvl w:val="0"/>
          <w:numId w:val="1002"/>
        </w:numPr>
      </w:pPr>
      <w:r>
        <w:t xml:space="preserve">Reinstatement and active work of the Committee on Competition Defense and the Committee on Consumer Defense, including development of manuals of good practices.</w:t>
      </w:r>
    </w:p>
    <w:p>
      <w:pPr>
        <w:pStyle w:val="Compact"/>
        <w:numPr>
          <w:ilvl w:val="0"/>
          <w:numId w:val="1002"/>
        </w:numPr>
      </w:pPr>
      <w:r>
        <w:t xml:space="preserve">Realization of the XI MERCOSUR Business Forum to enhance private sector participation and public-private articulation.</w:t>
      </w:r>
    </w:p>
    <w:p>
      <w:pPr>
        <w:pStyle w:val="Compact"/>
        <w:numPr>
          <w:ilvl w:val="0"/>
          <w:numId w:val="1002"/>
        </w:numPr>
      </w:pPr>
      <w:r>
        <w:t xml:space="preserve">Promotion of gender equality in commerce through the certification of the</w:t>
      </w:r>
      <w:r>
        <w:t xml:space="preserve"> </w:t>
      </w:r>
      <w:r>
        <w:t xml:space="preserve">“Sello Empresa Mujer”</w:t>
      </w:r>
      <w:r>
        <w:t xml:space="preserve"> </w:t>
      </w:r>
      <w:r>
        <w:t xml:space="preserve">(Women’s Company Seal).</w:t>
      </w:r>
    </w:p>
    <w:p>
      <w:pPr>
        <w:pStyle w:val="Compact"/>
        <w:numPr>
          <w:ilvl w:val="0"/>
          <w:numId w:val="1002"/>
        </w:numPr>
      </w:pPr>
      <w:r>
        <w:t xml:space="preserve">Continuation and strengthening of the MERCOSUR Structural Convergence Fund (FOCEM) with Brazil establishing criteria for project selection favoring border municipalities.</w:t>
      </w:r>
    </w:p>
    <w:p>
      <w:pPr>
        <w:pStyle w:val="Compact"/>
        <w:numPr>
          <w:ilvl w:val="0"/>
          <w:numId w:val="1002"/>
        </w:numPr>
      </w:pPr>
      <w:r>
        <w:t xml:space="preserve">Work by the Group ad hoc on Trade and Sustainable Development with a renewed mandate to integrate sustainability into trade policies.</w:t>
      </w:r>
    </w:p>
    <w:p>
      <w:pPr>
        <w:pStyle w:val="Compact"/>
        <w:numPr>
          <w:ilvl w:val="0"/>
          <w:numId w:val="1002"/>
        </w:numPr>
      </w:pPr>
      <w:r>
        <w:t xml:space="preserve">Progress on a MERCOSUR cybersecurity cooperation instrument to improve coordination and response to malicious cyber activities.</w:t>
      </w:r>
    </w:p>
    <w:p>
      <w:pPr>
        <w:pStyle w:val="Compact"/>
        <w:numPr>
          <w:ilvl w:val="0"/>
          <w:numId w:val="1002"/>
        </w:numPr>
      </w:pPr>
      <w:r>
        <w:t xml:space="preserve">Entry into force of the MERCOSUR E-commerce Agreement between Paraguay and Uruguay, with efforts to ratify it across the bloc.</w:t>
      </w:r>
    </w:p>
    <w:p>
      <w:pPr>
        <w:pStyle w:val="Compact"/>
        <w:numPr>
          <w:ilvl w:val="0"/>
          <w:numId w:val="1002"/>
        </w:numPr>
      </w:pPr>
      <w:r>
        <w:t xml:space="preserve">Health cooperation initiatives including the first MERCOSUR Epidemiological Bulletin, a course on vaccine production and development, and the project</w:t>
      </w:r>
      <w:r>
        <w:t xml:space="preserve"> </w:t>
      </w:r>
      <w:r>
        <w:t xml:space="preserve">“Promoting Healthy and Safe MERCOSUR Borders”</w:t>
      </w:r>
      <w:r>
        <w:t xml:space="preserve"> </w:t>
      </w:r>
      <w:r>
        <w:t xml:space="preserve">with PAHO.</w:t>
      </w:r>
    </w:p>
    <w:p>
      <w:pPr>
        <w:pStyle w:val="Compact"/>
        <w:numPr>
          <w:ilvl w:val="0"/>
          <w:numId w:val="1002"/>
        </w:numPr>
      </w:pPr>
      <w:r>
        <w:t xml:space="preserve">Advancement of the Local Border Towns Agreement to facilitate cross-border mobility and access to services such as education, health, work, and trade.</w:t>
      </w:r>
    </w:p>
    <w:p>
      <w:pPr>
        <w:pStyle w:val="Compact"/>
        <w:numPr>
          <w:ilvl w:val="0"/>
          <w:numId w:val="1002"/>
        </w:numPr>
      </w:pPr>
      <w:r>
        <w:t xml:space="preserve">Strengthening regional energy integration focusing on electricity interconnection, renewable energy incorporation, and gas integration, with collaboration with OLADE.</w:t>
      </w:r>
    </w:p>
    <w:p>
      <w:pPr>
        <w:pStyle w:val="Compact"/>
        <w:numPr>
          <w:ilvl w:val="0"/>
          <w:numId w:val="1002"/>
        </w:numPr>
      </w:pPr>
      <w:r>
        <w:t xml:space="preserve">Support for science, technology, and innovation through MERCOSUR Science and Technology Awards, training on alternative methods to animal use, startup support, and promotion of open science.</w:t>
      </w:r>
    </w:p>
    <w:p>
      <w:pPr>
        <w:pStyle w:val="Compact"/>
        <w:numPr>
          <w:ilvl w:val="0"/>
          <w:numId w:val="1002"/>
        </w:numPr>
      </w:pPr>
      <w:r>
        <w:t xml:space="preserve">Active external trade negotiations and agreements including the MERCOSUR-Singapore Free Trade Agreement, ongoing MERCOSUR-EU Association Agreement talks, and negotiations with Chile, Colombia, Peru, Ecuador, El Salvador, Dominican Republic, UAE, Canada, Indonesia, and Vietnam.</w:t>
      </w:r>
    </w:p>
    <w:p>
      <w:pPr>
        <w:pStyle w:val="Compact"/>
        <w:numPr>
          <w:ilvl w:val="0"/>
          <w:numId w:val="1002"/>
        </w:numPr>
      </w:pPr>
      <w:r>
        <w:t xml:space="preserve">Cooperation projects with international organizations such as CPLP, PAHO/WHO, and OEI, including the EU-funded project on legislative harmonization for border towns.</w:t>
      </w:r>
    </w:p>
    <w:bookmarkEnd w:id="24"/>
    <w:bookmarkStart w:id="25" w:name="commitments"/>
    <w:p>
      <w:pPr>
        <w:pStyle w:val="Heading2"/>
      </w:pPr>
      <w:r>
        <w:t xml:space="preserve">Commitments</w:t>
      </w:r>
    </w:p>
    <w:p>
      <w:pPr>
        <w:pStyle w:val="Compact"/>
        <w:numPr>
          <w:ilvl w:val="0"/>
          <w:numId w:val="1003"/>
        </w:numPr>
      </w:pPr>
      <w:r>
        <w:t xml:space="preserve">Extend the mandate of the Group ad hoc to examine the consistency and dispersion of the Common External Tariff (CET) for one year (until end of 2024).</w:t>
      </w:r>
    </w:p>
    <w:p>
      <w:pPr>
        <w:pStyle w:val="Compact"/>
        <w:numPr>
          <w:ilvl w:val="0"/>
          <w:numId w:val="1003"/>
        </w:numPr>
      </w:pPr>
      <w:r>
        <w:t xml:space="preserve">Continue to internalize and implement the new MERCOSUR Rules of Origin (ROM) concluded in July 2023.</w:t>
      </w:r>
    </w:p>
    <w:p>
      <w:pPr>
        <w:pStyle w:val="Compact"/>
        <w:numPr>
          <w:ilvl w:val="0"/>
          <w:numId w:val="1003"/>
        </w:numPr>
      </w:pPr>
      <w:r>
        <w:t xml:space="preserve">Publish criteria for selection of projects to be presented to the MERCOSUR Structural Convergence Fund (FOCEM) in the first semester of 2024, favoring projects in municipalities up to 150 km from the border.</w:t>
      </w:r>
    </w:p>
    <w:p>
      <w:pPr>
        <w:pStyle w:val="Compact"/>
        <w:numPr>
          <w:ilvl w:val="0"/>
          <w:numId w:val="1003"/>
        </w:numPr>
      </w:pPr>
      <w:r>
        <w:t xml:space="preserve">Promote ratification of the MERCOSUR Agreement on Electronic Commerce to establish a legal framework for e-commerce within the bloc.</w:t>
      </w:r>
    </w:p>
    <w:p>
      <w:pPr>
        <w:pStyle w:val="Compact"/>
        <w:numPr>
          <w:ilvl w:val="0"/>
          <w:numId w:val="1003"/>
        </w:numPr>
      </w:pPr>
      <w:r>
        <w:t xml:space="preserve">Advance the approval and promulgation of the MERCOSUR Local Border Towns Agreement to facilitate cross-border mobility and access to services.</w:t>
      </w:r>
    </w:p>
    <w:p>
      <w:pPr>
        <w:pStyle w:val="Compact"/>
        <w:numPr>
          <w:ilvl w:val="0"/>
          <w:numId w:val="1003"/>
        </w:numPr>
      </w:pPr>
      <w:r>
        <w:t xml:space="preserve">Continue negotiations and advance the update of trade agreements with Chile, Colombia, Peru, Ecuador, El Salvador, Dominican Republic, and initiate negotiations with UAE, Canada, Indonesia, and Vietnam.</w:t>
      </w:r>
    </w:p>
    <w:p>
      <w:pPr>
        <w:pStyle w:val="Compact"/>
        <w:numPr>
          <w:ilvl w:val="0"/>
          <w:numId w:val="1003"/>
        </w:numPr>
      </w:pPr>
      <w:r>
        <w:t xml:space="preserve">Conclude and sign the MERCOSUR-EU Association Agreement and the MERCOSUR-EFTA trade agreement.</w:t>
      </w:r>
    </w:p>
    <w:p>
      <w:pPr>
        <w:pStyle w:val="Compact"/>
        <w:numPr>
          <w:ilvl w:val="0"/>
          <w:numId w:val="1003"/>
        </w:numPr>
      </w:pPr>
      <w:r>
        <w:t xml:space="preserve">Deepen regional energy integration, especially electrical interconnection and gas integration, to increase renewable energy incorporation.</w:t>
      </w:r>
    </w:p>
    <w:p>
      <w:pPr>
        <w:pStyle w:val="Compact"/>
        <w:numPr>
          <w:ilvl w:val="0"/>
          <w:numId w:val="1003"/>
        </w:numPr>
      </w:pPr>
      <w:r>
        <w:t xml:space="preserve">Maintain and continue funding the MERCOSUR Structural Convergence Fund (FOCEM) as a key tool to reduce asymmetries among member countries and regions.</w:t>
      </w:r>
    </w:p>
    <w:p>
      <w:pPr>
        <w:pStyle w:val="Compact"/>
        <w:numPr>
          <w:ilvl w:val="0"/>
          <w:numId w:val="1003"/>
        </w:numPr>
      </w:pPr>
      <w:r>
        <w:t xml:space="preserve">Launch the first MERCOSUR Epidemiological Bulletin to share public health information among member states.</w:t>
      </w:r>
    </w:p>
    <w:p>
      <w:pPr>
        <w:pStyle w:val="Compact"/>
        <w:numPr>
          <w:ilvl w:val="0"/>
          <w:numId w:val="1003"/>
        </w:numPr>
      </w:pPr>
      <w:r>
        <w:t xml:space="preserve">Implement the Plan Operative of the MERCOSUR Strategy on Climate Change and Health, including participation in COP28 in Dubai (2023-2024).</w:t>
      </w:r>
    </w:p>
    <w:p>
      <w:pPr>
        <w:pStyle w:val="Compact"/>
        <w:numPr>
          <w:ilvl w:val="0"/>
          <w:numId w:val="1003"/>
        </w:numPr>
      </w:pPr>
      <w:r>
        <w:t xml:space="preserve">Continue cooperation projects in health, including production and development of vaccines, and border health initiatives in 2024.</w:t>
      </w:r>
    </w:p>
    <w:p>
      <w:pPr>
        <w:pStyle w:val="Compact"/>
        <w:numPr>
          <w:ilvl w:val="0"/>
          <w:numId w:val="1003"/>
        </w:numPr>
      </w:pPr>
      <w:r>
        <w:t xml:space="preserve">Strengthen science, technology, and innovation initiatives, including increasing scientific and technological production and joint research efforts within MERCOSUR.</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2025-06-19T15:30:06Z</dcterms:created>
  <dcterms:modified xsi:type="dcterms:W3CDTF">2025-06-19T15:30:06Z</dcterms:modified>
</cp:coreProperties>
</file>

<file path=docProps/custom.xml><?xml version="1.0" encoding="utf-8"?>
<Properties xmlns="http://schemas.openxmlformats.org/officeDocument/2006/custom-properties" xmlns:vt="http://schemas.openxmlformats.org/officeDocument/2006/docPropsVTypes"/>
</file>