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2a716db2cc092f8719f596de2d81b04172bd21"/>
    <w:p>
      <w:pPr>
        <w:pStyle w:val="Heading1"/>
      </w:pPr>
      <w:r>
        <w:t xml:space="preserve">European Industrial Technology Roadmap for the Next-Generation Cloud-Edge and Telco Cloud Thematic Roadmap</w:t>
      </w:r>
    </w:p>
    <w:p>
      <w:pPr>
        <w:pStyle w:val="FirstParagraph"/>
      </w:pPr>
      <w:r>
        <w:rPr>
          <w:b/>
          <w:bCs/>
        </w:rPr>
        <w:t xml:space="preserve">Date</w:t>
      </w:r>
      <w:r>
        <w:t xml:space="preserve">: 2024-07-10</w:t>
      </w:r>
    </w:p>
    <w:p>
      <w:pPr>
        <w:pStyle w:val="BodyText"/>
      </w:pPr>
      <w:r>
        <w:rPr>
          <w:b/>
          <w:bCs/>
        </w:rPr>
        <w:t xml:space="preserve">Location</w:t>
      </w:r>
      <w:r>
        <w:t xml:space="preserve">: The principal location where the event/document originates is Brussels, Belgium (European Union institutions).</w:t>
      </w:r>
    </w:p>
    <w:bookmarkStart w:id="20" w:name="executive-summary"/>
    <w:p>
      <w:pPr>
        <w:pStyle w:val="Heading2"/>
      </w:pPr>
      <w:r>
        <w:t xml:space="preserve">Executive Summary</w:t>
      </w:r>
    </w:p>
    <w:p>
      <w:pPr>
        <w:pStyle w:val="FirstParagraph"/>
      </w:pPr>
      <w:r>
        <w:t xml:space="preserve">The European Alliance for Industrial Data, Edge and Cloud has released the Telco Cloud Thematic Roadmap, endorsed by the European Commission, to guide strategic investments in next-generation cloud-edge technologies for the telecom sector. The roadmap addresses challenges in digital sovereignty, interoperability, sustainability, cybersecurity, and infrastructure deployment across Europe’s edge-to-cloud continuum. It emphasizes open standards, open source implementations, and multi-provider federation to foster a competitive, secure, and climate-neutral European cloud ecosystem. Key priorities include enhancing digital sovereignty through data control, local processing, and regulatory alignment; promoting energy-efficient and sustainable data center designs; advancing cybersecurity with quantum-safe encryption and zero-trust identity management; and enabling seamless orchestration and interoperability across distributed cloud and edge infrastructures. The roadmap also highlights the importance of developing advanced application services, data spaces, and innovative technologies like serverless computing, HPC, and quantum computing to support diverse industry use cases such as healthcare, mobility, logistics, and smart cities, aiming to strengthen Europe’s digital infrastructure and global leadership by 2030.</w:t>
      </w:r>
    </w:p>
    <w:bookmarkEnd w:id="20"/>
    <w:bookmarkStart w:id="21" w:name="characteristics"/>
    <w:p>
      <w:pPr>
        <w:pStyle w:val="Heading2"/>
      </w:pPr>
      <w:r>
        <w:t xml:space="preserve">Characteristics</w:t>
      </w:r>
    </w:p>
    <w:p>
      <w:pPr>
        <w:pStyle w:val="Compact"/>
        <w:numPr>
          <w:ilvl w:val="0"/>
          <w:numId w:val="1001"/>
        </w:numPr>
      </w:pPr>
      <w:r>
        <w:t xml:space="preserve">The Telco Cloud Thematic Roadmap focuses on developing a next-generation European cloud-edge continuum for telecom, emphasizing competitiveness, digital sovereignty, and sustainability through open standards, open source, and multi-provider federation.</w:t>
      </w:r>
    </w:p>
    <w:p>
      <w:pPr>
        <w:pStyle w:val="Compact"/>
        <w:numPr>
          <w:ilvl w:val="0"/>
          <w:numId w:val="1001"/>
        </w:numPr>
      </w:pPr>
      <w:r>
        <w:t xml:space="preserve">Key priorities include establishing open specifications and reference implementations, fostering collaboration among initiatives, and creating data-sharing business models to enable interoperable, sovereign, and scalable cloud-edge services.</w:t>
      </w:r>
    </w:p>
    <w:p>
      <w:pPr>
        <w:pStyle w:val="Compact"/>
        <w:numPr>
          <w:ilvl w:val="0"/>
          <w:numId w:val="1001"/>
        </w:numPr>
      </w:pPr>
      <w:r>
        <w:t xml:space="preserve">Digital sovereignty is central, requiring layered control over data privacy, residency, locality, authority, and governance, supported by EU-wide mapping of capabilities, investment coordination, and human-centric policies.</w:t>
      </w:r>
    </w:p>
    <w:p>
      <w:pPr>
        <w:pStyle w:val="Compact"/>
        <w:numPr>
          <w:ilvl w:val="0"/>
          <w:numId w:val="1001"/>
        </w:numPr>
      </w:pPr>
      <w:r>
        <w:t xml:space="preserve">Sustainability goals target climate-neutral, energy-efficient, and circular economy data centers and infrastructures, leveraging AI/ML for optimization, green energy integration, and advanced metrics for environmental impact.</w:t>
      </w:r>
    </w:p>
    <w:p>
      <w:pPr>
        <w:pStyle w:val="Compact"/>
        <w:numPr>
          <w:ilvl w:val="0"/>
          <w:numId w:val="1001"/>
        </w:numPr>
      </w:pPr>
      <w:r>
        <w:t xml:space="preserve">Cybersecurity priorities encompass quantum-safe encryption, zero-trust identity management, automated security operations centers, and supply chain certification to ensure trust and resilience across the cloud-edge continuum.</w:t>
      </w:r>
    </w:p>
    <w:p>
      <w:pPr>
        <w:pStyle w:val="Compact"/>
        <w:numPr>
          <w:ilvl w:val="0"/>
          <w:numId w:val="1001"/>
        </w:numPr>
      </w:pPr>
      <w:r>
        <w:t xml:space="preserve">Infrastructure and platform services emphasize open standards, uniform abstraction layers, multi-provider orchestration, serverless computing, HPC, quantum computing, and blockchain to support diverse, secure, and efficient edge-to-cloud applications.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Commission; EU Member States; European Council</w:t>
            </w:r>
          </w:p>
        </w:tc>
      </w:tr>
      <w:tr>
        <w:tc>
          <w:tcPr/>
          <w:p>
            <w:pPr>
              <w:pStyle w:val="Compact"/>
            </w:pPr>
            <w:r>
              <w:t xml:space="preserve">Research and Innovation Actors</w:t>
            </w:r>
          </w:p>
        </w:tc>
        <w:tc>
          <w:tcPr/>
          <w:p>
            <w:pPr>
              <w:pStyle w:val="Compact"/>
            </w:pPr>
            <w:r>
              <w:t xml:space="preserve">European Alliance for Industrial Data, Edge and Cloud; Fraunhofer Institute for Software and Systems Engineering ISST; University of Piraeus; Linux Foundation; Linux Foundation Europe; LF Edge; Cloud Native Computing Foundation; Eclipse Foundation; Apache Software Foundation; Sovereign Edge.EU; OpenForum Europe; O-RAN Alliance; OW2; OpenInfra Foundation; Catena-X; Smart Connected Supplier Network (SCSN); EONA-X; Big Data Value Association (BDVA); European Open Science Cloud (EOSC); Gaia-X; Alliance IoT (AIOTI); Data Spaces Support Centre (DSSC); European Data Centre Association (EUdata centreA); EUCLIDIA; Industrial Digital Twin Association (IDTA); ECLASS; OPC Foundation; GSM Association (GSMA); TM Forum; 5G Alliance for Connected Industries and Automation (5G ACIA); Open Compute Project (OCP); European Cloud Industrial Alliance (EUCLIDIA); IPCEI-CIS (Important Projects of Common European Interest for Next-Generation Cloud Infrastructure and Services)</w:t>
            </w:r>
          </w:p>
        </w:tc>
      </w:tr>
      <w:tr>
        <w:tc>
          <w:tcPr/>
          <w:p>
            <w:pPr>
              <w:pStyle w:val="Compact"/>
            </w:pPr>
            <w:r>
              <w:t xml:space="preserve">Economic Actors</w:t>
            </w:r>
          </w:p>
        </w:tc>
        <w:tc>
          <w:tcPr/>
          <w:p>
            <w:pPr>
              <w:pStyle w:val="Compact"/>
            </w:pPr>
            <w:r>
              <w:t xml:space="preserve">Telecom Italia; Jotne; Fraunhofer ISST; Atos; OpenNebula Systems; Noovle; Retelit; OUTSCALE; OVHcloud; Capgemini; Fabasoft; Abilian; Ericsson; Deutsche Telekom AG; Telefónica; IONOS; Tietoevry; Cloudferro; SAP; Amadeus; Linagora; ReLOG3P; Gigas; SWD Dormagen; Aruba; Siemens; Global DMS; Data4; Arthur’s Legal, Strategies &amp; Systems; ARSYS; Irideos; Telecom Italia; Leaseweb; Nokia; TIM SpA; Fabasoft; 3DS; Outscale; Green Cloud AI; Bit4id; Sopra Steria; Clever Cloud; Amadeus; SAP; Capgemini; Atos; OpenNebula Systems; Noovle; Telecom Italia; Deutsche Telekom; Telefónica; Ericsson; Orange</w:t>
            </w:r>
          </w:p>
        </w:tc>
      </w:tr>
      <w:tr>
        <w:tc>
          <w:tcPr/>
          <w:p>
            <w:pPr>
              <w:pStyle w:val="Compact"/>
            </w:pPr>
            <w:r>
              <w:t xml:space="preserve">Civil Society Actors</w:t>
            </w:r>
          </w:p>
        </w:tc>
        <w:tc>
          <w:tcPr/>
          <w:p>
            <w:pPr>
              <w:pStyle w:val="Compact"/>
            </w:pPr>
            <w:r>
              <w:t xml:space="preserve">European Digital Rights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Infrastructure; Digital Platforms; Digital Ecosystem; Digital Policy</w:t>
            </w:r>
          </w:p>
        </w:tc>
      </w:tr>
      <w:tr>
        <w:tc>
          <w:tcPr/>
          <w:p>
            <w:pPr>
              <w:pStyle w:val="Compact"/>
            </w:pPr>
            <w:r>
              <w:t xml:space="preserve">Technology &amp; Innovation</w:t>
            </w:r>
          </w:p>
        </w:tc>
        <w:tc>
          <w:tcPr/>
          <w:p>
            <w:pPr>
              <w:pStyle w:val="Compact"/>
            </w:pPr>
            <w:r>
              <w:t xml:space="preserve">Artificial Intelligence; AI Ethics; Tech-Driven Solutions; ICT Innovation; Quantum Technologies; Sustainable Tech; Cloud Computing; Innovation in Computing; Blockchain; 5G</w:t>
            </w:r>
          </w:p>
        </w:tc>
      </w:tr>
      <w:tr>
        <w:tc>
          <w:tcPr/>
          <w:p>
            <w:pPr>
              <w:pStyle w:val="Compact"/>
            </w:pPr>
            <w:r>
              <w:t xml:space="preserve">Data &amp; Governance</w:t>
            </w:r>
          </w:p>
        </w:tc>
        <w:tc>
          <w:tcPr/>
          <w:p>
            <w:pPr>
              <w:pStyle w:val="Compact"/>
            </w:pPr>
            <w:r>
              <w:t xml:space="preserve">Data Governance; Digital Governance; Digital Ethics; E-Governance; Cybersecurity; Cyber Risk Management; Digital Identity Management</w:t>
            </w:r>
          </w:p>
        </w:tc>
      </w:tr>
      <w:tr>
        <w:tc>
          <w:tcPr/>
          <w:p>
            <w:pPr>
              <w:pStyle w:val="Compact"/>
            </w:pPr>
            <w:r>
              <w:t xml:space="preserve">Inclusion &amp; Social Development</w:t>
            </w:r>
          </w:p>
        </w:tc>
        <w:tc>
          <w:tcPr/>
          <w:p>
            <w:pPr>
              <w:pStyle w:val="Compact"/>
            </w:pPr>
            <w:r>
              <w:t xml:space="preserve">Digital Skills Development</w:t>
            </w:r>
          </w:p>
        </w:tc>
      </w:tr>
      <w:tr>
        <w:tc>
          <w:tcPr/>
          <w:p>
            <w:pPr>
              <w:pStyle w:val="Compact"/>
            </w:pPr>
            <w:r>
              <w:t xml:space="preserve">Regional &amp; International Cooperation</w:t>
            </w:r>
          </w:p>
        </w:tc>
        <w:tc>
          <w:tcPr/>
          <w:p>
            <w:pPr>
              <w:pStyle w:val="Compact"/>
            </w:pPr>
            <w:r>
              <w:t xml:space="preserve">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The European Alliance for Industrial Data, Edge and Cloud has established the Cloud-Edge Industrial Working Group, which delivers the Telco Cloud Thematic Roadmap to recommend areas of investment for next-generation European cloud and edge technologies.</w:t>
      </w:r>
    </w:p>
    <w:p>
      <w:pPr>
        <w:pStyle w:val="Compact"/>
        <w:numPr>
          <w:ilvl w:val="0"/>
          <w:numId w:val="1002"/>
        </w:numPr>
      </w:pPr>
      <w:r>
        <w:t xml:space="preserve">The Alliance serves as a platform for exchange on cloud governance and public procurement of cloud services, facilitated by the European Commission’s DG CNECT.</w:t>
      </w:r>
    </w:p>
    <w:p>
      <w:pPr>
        <w:pStyle w:val="Compact"/>
        <w:numPr>
          <w:ilvl w:val="0"/>
          <w:numId w:val="1002"/>
        </w:numPr>
      </w:pPr>
      <w:r>
        <w:t xml:space="preserve">The Cloud-Edge Working Group includes major European industry players and experts from companies such as Telecom Italia, Deutsche Telekom, Capgemini, Ericsson, SAP, Siemens, and others, collaborating on joint development and deployment of EU cloud and edge technologies.</w:t>
      </w:r>
    </w:p>
    <w:p>
      <w:pPr>
        <w:pStyle w:val="Compact"/>
        <w:numPr>
          <w:ilvl w:val="0"/>
          <w:numId w:val="1002"/>
        </w:numPr>
      </w:pPr>
      <w:r>
        <w:t xml:space="preserve">The Alliance and Working Group have identified essential technology and deployment priorities, including representation in open standards, open source reference implementations, multi-provider edge cloud federation, support for distributed and interoperable architectures, and making EU regulations fit for digital sovereignty.</w:t>
      </w:r>
    </w:p>
    <w:p>
      <w:pPr>
        <w:pStyle w:val="Compact"/>
        <w:numPr>
          <w:ilvl w:val="0"/>
          <w:numId w:val="1002"/>
        </w:numPr>
      </w:pPr>
      <w:r>
        <w:t xml:space="preserve">The Alliance supports European initiatives and projects such as Catena-X (automotive data space), Gaia-X (federated data infrastructure), IPCEI on Next-Generation Cloud Infrastructure and Services (IPCEI-CIS), and the Data Spaces Support Centre to foster data sharing and cloud-edge infrastructure development.</w:t>
      </w:r>
    </w:p>
    <w:p>
      <w:pPr>
        <w:pStyle w:val="Compact"/>
        <w:numPr>
          <w:ilvl w:val="0"/>
          <w:numId w:val="1002"/>
        </w:numPr>
      </w:pPr>
      <w:r>
        <w:t xml:space="preserve">The IPCEI-CIS project aims to create innovations for the computing continuum from edge to cloud, supporting large-scale European cloud and edge systems and accelerating uptake among SMEs, industries, and public administrations.</w:t>
      </w:r>
    </w:p>
    <w:p>
      <w:pPr>
        <w:pStyle w:val="Compact"/>
        <w:numPr>
          <w:ilvl w:val="0"/>
          <w:numId w:val="1002"/>
        </w:numPr>
      </w:pPr>
      <w:r>
        <w:t xml:space="preserve">The Alliance promotes open specifications, open standards, and open source reference implementations, encouraging European-led open source communities (e.g., Linux Foundation Europe, Eclipse Foundation, Sovereign Edge.EU) to develop interoperable cloud-edge platforms.</w:t>
      </w:r>
    </w:p>
    <w:p>
      <w:pPr>
        <w:pStyle w:val="Compact"/>
        <w:numPr>
          <w:ilvl w:val="0"/>
          <w:numId w:val="1002"/>
        </w:numPr>
      </w:pPr>
      <w:r>
        <w:t xml:space="preserve">The roadmap recommends strengthening cooperation and alignment between European open source initiatives, industry associations, and standardisation bodies to avoid duplication and foster interoperability.</w:t>
      </w:r>
    </w:p>
    <w:p>
      <w:pPr>
        <w:pStyle w:val="Compact"/>
        <w:numPr>
          <w:ilvl w:val="0"/>
          <w:numId w:val="1002"/>
        </w:numPr>
      </w:pPr>
      <w:r>
        <w:t xml:space="preserve">The Alliance advocates for data-sharing business models supported by data spaces and networks, with projects like Catena-X, SCSN, and EONA-X developing standards and open source software for industrial data sharing.</w:t>
      </w:r>
    </w:p>
    <w:p>
      <w:pPr>
        <w:pStyle w:val="Compact"/>
        <w:numPr>
          <w:ilvl w:val="0"/>
          <w:numId w:val="1002"/>
        </w:numPr>
      </w:pPr>
      <w:r>
        <w:t xml:space="preserve">The roadmap emphasizes digital sovereignty as a cross-cutting priority, recommending mapping EU-funded project deliverables, narrowing investment gaps, operationalizing human-centric values, organizing EU standards for pre-procurement, and adapting EU regulations to support digital sovereignty.</w:t>
      </w:r>
    </w:p>
    <w:p>
      <w:pPr>
        <w:pStyle w:val="Compact"/>
        <w:numPr>
          <w:ilvl w:val="0"/>
          <w:numId w:val="1002"/>
        </w:numPr>
      </w:pPr>
      <w:r>
        <w:t xml:space="preserve">The Alliance supports sustainability and climate neutrality goals by promoting sustainability by design, circular economy principles, data decarbonisation platforms, energy efficiency codes of conduct for data centres, and the use of AI/ML for energy optimisation.</w:t>
      </w:r>
    </w:p>
    <w:p>
      <w:pPr>
        <w:pStyle w:val="Compact"/>
        <w:numPr>
          <w:ilvl w:val="0"/>
          <w:numId w:val="1002"/>
        </w:numPr>
      </w:pPr>
      <w:r>
        <w:t xml:space="preserve">Cybersecurity priorities include developing EU innovative data encryption technologies (quantum-safe and privacy-enhancing), zero-trust identity management, device-centric risk classification, automated Security Operation Centres (SOC), and harmonizing cybersecurity certification schemes.</w:t>
      </w:r>
    </w:p>
    <w:p>
      <w:pPr>
        <w:pStyle w:val="Compact"/>
        <w:numPr>
          <w:ilvl w:val="0"/>
          <w:numId w:val="1002"/>
        </w:numPr>
      </w:pPr>
      <w:r>
        <w:t xml:space="preserve">The roadmap calls for open standards for cloud infrastructure services, a uniform abstraction layer for multi-provider portability, multi-provider meta-orchestration and workload optimisation, and multi-provider edge cloud federation to enable interoperable and federated cloud-edge services.</w:t>
      </w:r>
    </w:p>
    <w:p>
      <w:pPr>
        <w:pStyle w:val="Compact"/>
        <w:numPr>
          <w:ilvl w:val="0"/>
          <w:numId w:val="1002"/>
        </w:numPr>
      </w:pPr>
      <w:r>
        <w:t xml:space="preserve">Deployment of a reference test bed for edge-to-cloud continuum and a federated cloud marketplace are established initiatives to demonstrate and facilitate European cloud-edge service offerings.</w:t>
      </w:r>
    </w:p>
    <w:p>
      <w:pPr>
        <w:pStyle w:val="Compact"/>
        <w:numPr>
          <w:ilvl w:val="0"/>
          <w:numId w:val="1002"/>
        </w:numPr>
      </w:pPr>
      <w:r>
        <w:t xml:space="preserve">Edge and data centre infrastructure priorities include optimised data centre design for edge and cloud, advanced simulation and prediction capabilities, edge data centre security and accessibility, energy optimisation and resource conservation, and sustainable data centre blueprints.</w:t>
      </w:r>
    </w:p>
    <w:p>
      <w:pPr>
        <w:pStyle w:val="Compact"/>
        <w:numPr>
          <w:ilvl w:val="0"/>
          <w:numId w:val="1002"/>
        </w:numPr>
      </w:pPr>
      <w:r>
        <w:t xml:space="preserve">Connectivity priorities focus on device connectivity for a true edge experience, control and orchestration for edge connectivity at scale, delivering performing device connectivity, sustainable transport technology, and deploying the right infrastructure to interconnect service providers.</w:t>
      </w:r>
    </w:p>
    <w:p>
      <w:pPr>
        <w:pStyle w:val="Compact"/>
        <w:numPr>
          <w:ilvl w:val="0"/>
          <w:numId w:val="1002"/>
        </w:numPr>
      </w:pPr>
      <w:r>
        <w:t xml:space="preserve">The roadmap supports achieving scale at the edge by hosting telco network functions as main tenants, evolving network functions to cloud-native, and coordinating network orchestration with multi-cloud orchestration.</w:t>
      </w:r>
    </w:p>
    <w:p>
      <w:pPr>
        <w:pStyle w:val="Compact"/>
        <w:numPr>
          <w:ilvl w:val="0"/>
          <w:numId w:val="1002"/>
        </w:numPr>
      </w:pPr>
      <w:r>
        <w:t xml:space="preserve">Cloud-edge foundation infrastructure initiatives include establishing an open hardware ecosystem, local manufacturing for IT equipment, implementing security from the ground up, defining infrastructure management and control interfaces, and adapting operating systems for edge-cloud environments.</w:t>
      </w:r>
    </w:p>
    <w:p>
      <w:pPr>
        <w:pStyle w:val="Compact"/>
        <w:numPr>
          <w:ilvl w:val="0"/>
          <w:numId w:val="1002"/>
        </w:numPr>
      </w:pPr>
      <w:r>
        <w:t xml:space="preserve">Infrastructure and platform services priorities include edge-to-cloud service management open specifications and APIs, dynamic application lifecycle orchestration engines, end-to-end quality of service as code, edge-to-cloud serverless services, HPC serverless services, quantum computing services, scalable data services, and blockchain services.</w:t>
      </w:r>
    </w:p>
    <w:p>
      <w:pPr>
        <w:pStyle w:val="Compact"/>
        <w:numPr>
          <w:ilvl w:val="0"/>
          <w:numId w:val="1002"/>
        </w:numPr>
      </w:pPr>
      <w:r>
        <w:t xml:space="preserve">Application and data services initiatives focus on promoting data as a competitive advantage for Europe, developing data spaces and networks, enhanced application development (including low-code/no-code), and supporting IIoT/AI applications with federated learning.</w:t>
      </w:r>
    </w:p>
    <w:p>
      <w:pPr>
        <w:pStyle w:val="Compact"/>
        <w:numPr>
          <w:ilvl w:val="0"/>
          <w:numId w:val="1002"/>
        </w:numPr>
      </w:pPr>
      <w:r>
        <w:t xml:space="preserve">The roadmap identifies key challenges in the European market such as cross-territorial regulatory consistency, interoperability, scaling in regulated environments, supply chain disruptions, skills shortages, resource heterogeneity, market fragmentation, sovereignty on hardware/software, security, data storage, provider scalability, ecosystem integration, energy consumption, standard interfaces, and open source adoption, with recommendations to address each.</w:t>
      </w:r>
    </w:p>
    <w:p>
      <w:pPr>
        <w:pStyle w:val="Compact"/>
        <w:numPr>
          <w:ilvl w:val="0"/>
          <w:numId w:val="1002"/>
        </w:numPr>
      </w:pPr>
      <w:r>
        <w:t xml:space="preserve">The Alliance promotes a holistic approach to digital sovereignty, emphasizing meaningful control across hardware, software, data, infrastructure, and governance layers, lifecycle thinking, and bridging resource gaps through investments, skills development, and collaboration.</w:t>
      </w:r>
    </w:p>
    <w:bookmarkEnd w:id="24"/>
    <w:bookmarkStart w:id="25" w:name="commitments"/>
    <w:p>
      <w:pPr>
        <w:pStyle w:val="Heading2"/>
      </w:pPr>
      <w:r>
        <w:t xml:space="preserve">Commitments</w:t>
      </w:r>
    </w:p>
    <w:p>
      <w:pPr>
        <w:pStyle w:val="Compact"/>
        <w:numPr>
          <w:ilvl w:val="0"/>
          <w:numId w:val="1003"/>
        </w:numPr>
      </w:pPr>
      <w:r>
        <w:t xml:space="preserve">By 2025, 80% of all generated data is expected to be processed at the edge.</w:t>
      </w:r>
    </w:p>
    <w:p>
      <w:pPr>
        <w:pStyle w:val="Compact"/>
        <w:numPr>
          <w:ilvl w:val="0"/>
          <w:numId w:val="1003"/>
        </w:numPr>
      </w:pPr>
      <w:r>
        <w:t xml:space="preserve">Deployment of 10,000 climate-neutral, highly secure edge nodes across the EU by 2030 (Europe’s Digital Compass target).</w:t>
      </w:r>
    </w:p>
    <w:p>
      <w:pPr>
        <w:pStyle w:val="Compact"/>
        <w:numPr>
          <w:ilvl w:val="0"/>
          <w:numId w:val="1003"/>
        </w:numPr>
      </w:pPr>
      <w:r>
        <w:t xml:space="preserve">Achieve a 55% reduction in greenhouse gas emissions by 2030 (EU collective ambition).</w:t>
      </w:r>
    </w:p>
    <w:p>
      <w:pPr>
        <w:pStyle w:val="Compact"/>
        <w:numPr>
          <w:ilvl w:val="0"/>
          <w:numId w:val="1003"/>
        </w:numPr>
      </w:pPr>
      <w:r>
        <w:t xml:space="preserve">The European cloud infrastructure services sector was worth €10.4bn in Q2 2022 and has grown fivefold since 2017, but European players’ market share shrunk from 27% to 13%.</w:t>
      </w:r>
    </w:p>
    <w:p>
      <w:pPr>
        <w:pStyle w:val="Compact"/>
        <w:numPr>
          <w:ilvl w:val="0"/>
          <w:numId w:val="1003"/>
        </w:numPr>
      </w:pPr>
      <w:r>
        <w:t xml:space="preserve">The European Industrial Technology Roadmap prioritizes the development and deployment of next-generation cloud-edge continuum capabilities and infrastructure by 2030, including:</w:t>
      </w:r>
    </w:p>
    <w:p>
      <w:pPr>
        <w:pStyle w:val="Compact"/>
        <w:numPr>
          <w:ilvl w:val="0"/>
          <w:numId w:val="1003"/>
        </w:numPr>
      </w:pPr>
      <w:r>
        <w:t xml:space="preserve">Establishing open standards and open source reference implementations for cloud infrastructure services.</w:t>
      </w:r>
    </w:p>
    <w:p>
      <w:pPr>
        <w:pStyle w:val="Compact"/>
        <w:numPr>
          <w:ilvl w:val="0"/>
          <w:numId w:val="1003"/>
        </w:numPr>
      </w:pPr>
      <w:r>
        <w:t xml:space="preserve">Building a federated cloud marketplace and multi-provider edge cloud federation.</w:t>
      </w:r>
    </w:p>
    <w:p>
      <w:pPr>
        <w:pStyle w:val="Compact"/>
        <w:numPr>
          <w:ilvl w:val="0"/>
          <w:numId w:val="1003"/>
        </w:numPr>
      </w:pPr>
      <w:r>
        <w:t xml:space="preserve">Deploying a reference test bed for edge-to-cloud continuum deployment.</w:t>
      </w:r>
    </w:p>
    <w:p>
      <w:pPr>
        <w:pStyle w:val="Compact"/>
        <w:numPr>
          <w:ilvl w:val="0"/>
          <w:numId w:val="1003"/>
        </w:numPr>
      </w:pPr>
      <w:r>
        <w:t xml:space="preserve">Coordinating network orchestration with multi-cloud orchestration.</w:t>
      </w:r>
    </w:p>
    <w:p>
      <w:pPr>
        <w:pStyle w:val="Compact"/>
        <w:numPr>
          <w:ilvl w:val="0"/>
          <w:numId w:val="1003"/>
        </w:numPr>
      </w:pPr>
      <w:r>
        <w:t xml:space="preserve">The European Code of Conduct for Energy Efficiency in Data Centres aims for climate neutrality of data centres by 2030.</w:t>
      </w:r>
    </w:p>
    <w:p>
      <w:pPr>
        <w:pStyle w:val="Compact"/>
        <w:numPr>
          <w:ilvl w:val="0"/>
          <w:numId w:val="1003"/>
        </w:numPr>
      </w:pPr>
      <w:r>
        <w:t xml:space="preserve">By 2025, half of cloud data centres will deploy robots with AI capabilities to improve operational efficiency.</w:t>
      </w:r>
    </w:p>
    <w:p>
      <w:pPr>
        <w:pStyle w:val="Compact"/>
        <w:numPr>
          <w:ilvl w:val="0"/>
          <w:numId w:val="1003"/>
        </w:numPr>
      </w:pPr>
      <w:r>
        <w:t xml:space="preserve">The Digital Decade 2030 targets include:</w:t>
      </w:r>
    </w:p>
    <w:p>
      <w:pPr>
        <w:pStyle w:val="Compact"/>
        <w:numPr>
          <w:ilvl w:val="0"/>
          <w:numId w:val="1003"/>
        </w:numPr>
      </w:pPr>
      <w:r>
        <w:t xml:space="preserve">75% of EU enterprises using computing services, big data or AI.</w:t>
      </w:r>
    </w:p>
    <w:p>
      <w:pPr>
        <w:pStyle w:val="Compact"/>
        <w:numPr>
          <w:ilvl w:val="0"/>
          <w:numId w:val="1003"/>
        </w:numPr>
      </w:pPr>
      <w:r>
        <w:t xml:space="preserve">Doubling the number of innovative scale-ups (unicorns).</w:t>
      </w:r>
    </w:p>
    <w:p>
      <w:pPr>
        <w:pStyle w:val="Compact"/>
        <w:numPr>
          <w:ilvl w:val="0"/>
          <w:numId w:val="1003"/>
        </w:numPr>
      </w:pPr>
      <w:r>
        <w:t xml:space="preserve">100% of key public services available online.</w:t>
      </w:r>
    </w:p>
    <w:p>
      <w:pPr>
        <w:pStyle w:val="Compact"/>
        <w:numPr>
          <w:ilvl w:val="0"/>
          <w:numId w:val="1003"/>
        </w:numPr>
      </w:pPr>
      <w:r>
        <w:t xml:space="preserve">100% of European citizens having access to electronic health records.</w:t>
      </w:r>
    </w:p>
    <w:p>
      <w:pPr>
        <w:pStyle w:val="Compact"/>
        <w:numPr>
          <w:ilvl w:val="0"/>
          <w:numId w:val="1003"/>
        </w:numPr>
      </w:pPr>
      <w:r>
        <w:t xml:space="preserve">80% of citizens having access to a digital ID solution.</w:t>
      </w:r>
    </w:p>
    <w:p>
      <w:pPr>
        <w:pStyle w:val="Compact"/>
        <w:numPr>
          <w:ilvl w:val="0"/>
          <w:numId w:val="1003"/>
        </w:numPr>
      </w:pPr>
      <w:r>
        <w:t xml:space="preserve">The European Commission plans to deliver a European cloud and edge platform open specification and APIs within the next 3 years to reduce dependency on non-EU infrastructure products.</w:t>
      </w:r>
    </w:p>
    <w:p>
      <w:pPr>
        <w:pStyle w:val="Compact"/>
        <w:numPr>
          <w:ilvl w:val="0"/>
          <w:numId w:val="1003"/>
        </w:numPr>
      </w:pPr>
      <w:r>
        <w:t xml:space="preserve">The European Commission supports the development of open source serverless platforms and HPC serverless services distributed across edge and cloud environments.</w:t>
      </w:r>
    </w:p>
    <w:p>
      <w:pPr>
        <w:pStyle w:val="Compact"/>
        <w:numPr>
          <w:ilvl w:val="0"/>
          <w:numId w:val="1003"/>
        </w:numPr>
      </w:pPr>
      <w:r>
        <w:t xml:space="preserve">The European Commission aims to build quantum communication, computing, simulation, metrology, and sensing services integrated into European cloud infrastructures in the mid to long term.</w:t>
      </w:r>
    </w:p>
    <w:p>
      <w:pPr>
        <w:pStyle w:val="Compact"/>
        <w:numPr>
          <w:ilvl w:val="0"/>
          <w:numId w:val="1003"/>
        </w:numPr>
      </w:pPr>
      <w:r>
        <w:t xml:space="preserve">The European Commission supports the deployment of sustainable transport network transformation and infrastructure to cover edge and cloud traffic demand progressively.</w:t>
      </w:r>
    </w:p>
    <w:p>
      <w:pPr>
        <w:pStyle w:val="Compact"/>
        <w:numPr>
          <w:ilvl w:val="0"/>
          <w:numId w:val="1003"/>
        </w:numPr>
      </w:pPr>
      <w:r>
        <w:t xml:space="preserve">The European Commission supports the deployment of 5G Standalone Core at near-edge nodes and virtualisation of radio access networks at near and far-edge nodes progressively.</w:t>
      </w:r>
    </w:p>
    <w:p>
      <w:pPr>
        <w:pStyle w:val="Compact"/>
        <w:numPr>
          <w:ilvl w:val="0"/>
          <w:numId w:val="1003"/>
        </w:numPr>
      </w:pPr>
      <w:r>
        <w:t xml:space="preserve">The European Commission supports the establishment of a European Competence Centre for Open Source to promote open source software and operating systems.</w:t>
      </w:r>
    </w:p>
    <w:p>
      <w:pPr>
        <w:pStyle w:val="Compact"/>
        <w:numPr>
          <w:ilvl w:val="0"/>
          <w:numId w:val="1003"/>
        </w:numPr>
      </w:pPr>
      <w:r>
        <w:t xml:space="preserve">The European Commission supports the establishment of an open hardware ecosystem and local manufacturing for IT equipment to increase autonomy and resilience.</w:t>
      </w:r>
    </w:p>
    <w:p>
      <w:pPr>
        <w:pStyle w:val="Compact"/>
        <w:numPr>
          <w:ilvl w:val="0"/>
          <w:numId w:val="1003"/>
        </w:numPr>
      </w:pPr>
      <w:r>
        <w:t xml:space="preserve">The European Commission supports the creation of a federated cloud marketplace as an openly accessible, certified catalogue of applications and infrastructure from providers abiding by European regulation.</w:t>
      </w:r>
    </w:p>
    <w:p>
      <w:pPr>
        <w:pStyle w:val="Compact"/>
        <w:numPr>
          <w:ilvl w:val="0"/>
          <w:numId w:val="1003"/>
        </w:numPr>
      </w:pPr>
      <w:r>
        <w:t xml:space="preserve">The European Commission supports the development of data spaces and networks to ensure data interoperability and fair access to data.</w:t>
      </w:r>
    </w:p>
    <w:p>
      <w:pPr>
        <w:pStyle w:val="Compact"/>
        <w:numPr>
          <w:ilvl w:val="0"/>
          <w:numId w:val="1003"/>
        </w:numPr>
      </w:pPr>
      <w:r>
        <w:t xml:space="preserve">The European Commission supports the development of edge-to-cloud data services to manage data exchanges between massively distributed and heterogeneous actors.</w:t>
      </w:r>
    </w:p>
    <w:p>
      <w:pPr>
        <w:pStyle w:val="Compact"/>
        <w:numPr>
          <w:ilvl w:val="0"/>
          <w:numId w:val="1003"/>
        </w:numPr>
      </w:pPr>
      <w:r>
        <w:t xml:space="preserve">The European Commission supports the development of edge-to-cloud blockchain services to enable trusted distributed ledgers and smart contracts.</w:t>
      </w:r>
    </w:p>
    <w:p>
      <w:pPr>
        <w:pStyle w:val="Compact"/>
        <w:numPr>
          <w:ilvl w:val="0"/>
          <w:numId w:val="1003"/>
        </w:numPr>
      </w:pPr>
      <w:r>
        <w:t xml:space="preserve">The European Commission supports the promotion of data as digital commons to empower new usages and enable business models.</w:t>
      </w:r>
    </w:p>
    <w:p>
      <w:pPr>
        <w:pStyle w:val="Compact"/>
        <w:numPr>
          <w:ilvl w:val="0"/>
          <w:numId w:val="1003"/>
        </w:numPr>
      </w:pPr>
      <w:r>
        <w:t xml:space="preserve">The European Commission supports the promotion of low code/no code application development to facilitate application development by SMEs.</w:t>
      </w:r>
    </w:p>
    <w:p>
      <w:pPr>
        <w:pStyle w:val="Compact"/>
        <w:numPr>
          <w:ilvl w:val="0"/>
          <w:numId w:val="1003"/>
        </w:numPr>
      </w:pPr>
      <w:r>
        <w:t xml:space="preserve">The European Commission supports the promotion of federated machine learning and AI/ML applications at the edge to preserve privacy and bandwidth.</w:t>
      </w:r>
    </w:p>
    <w:p>
      <w:pPr>
        <w:pStyle w:val="Compact"/>
        <w:numPr>
          <w:ilvl w:val="0"/>
          <w:numId w:val="1003"/>
        </w:numPr>
      </w:pPr>
      <w:r>
        <w:t xml:space="preserve">The European Commission supports the deployment of automated Security Operation Centres (SOC) for faster detection and response to cyber-attacks from cloud to edge.</w:t>
      </w:r>
    </w:p>
    <w:p>
      <w:pPr>
        <w:pStyle w:val="Compact"/>
        <w:numPr>
          <w:ilvl w:val="0"/>
          <w:numId w:val="1003"/>
        </w:numPr>
      </w:pPr>
      <w:r>
        <w:t xml:space="preserve">The European Commission supports the development and deployment of EU innovative data encryption technologies including quantum-safe and privacy-enhancing encryptions.</w:t>
      </w:r>
    </w:p>
    <w:p>
      <w:pPr>
        <w:pStyle w:val="Compact"/>
        <w:numPr>
          <w:ilvl w:val="0"/>
          <w:numId w:val="1003"/>
        </w:numPr>
      </w:pPr>
      <w:r>
        <w:t xml:space="preserve">The European Commission supports the development of reliable, high-performance, zero-trust identity management solutions.</w:t>
      </w:r>
    </w:p>
    <w:p>
      <w:pPr>
        <w:pStyle w:val="Compact"/>
        <w:numPr>
          <w:ilvl w:val="0"/>
          <w:numId w:val="1003"/>
        </w:numPr>
      </w:pPr>
      <w:r>
        <w:t xml:space="preserve">The European Commission supports the development of multi-provider meta-orchestration and workload optimisation platforms leveraging AI/ML.</w:t>
      </w:r>
    </w:p>
    <w:p>
      <w:pPr>
        <w:pStyle w:val="Compact"/>
        <w:numPr>
          <w:ilvl w:val="0"/>
          <w:numId w:val="1003"/>
        </w:numPr>
      </w:pPr>
      <w:r>
        <w:t xml:space="preserve">The European Commission supports the deployment of edge infrastructure to support the network evolution to cloud-native.</w:t>
      </w:r>
    </w:p>
    <w:p>
      <w:pPr>
        <w:pStyle w:val="Compact"/>
        <w:numPr>
          <w:ilvl w:val="0"/>
          <w:numId w:val="1003"/>
        </w:numPr>
      </w:pPr>
      <w:r>
        <w:t xml:space="preserve">The European Commission supports the development of open standards for cloud infrastructure services and uniform abstraction layers for multi-provider portability.</w:t>
      </w:r>
    </w:p>
    <w:p>
      <w:pPr>
        <w:pStyle w:val="Compact"/>
        <w:numPr>
          <w:ilvl w:val="0"/>
          <w:numId w:val="1003"/>
        </w:numPr>
      </w:pPr>
      <w:r>
        <w:t xml:space="preserve">The European Commission supports the deployment of sustainable transport technology and network transformation to meet edge and cloud traffic demand.</w:t>
      </w:r>
    </w:p>
    <w:p>
      <w:pPr>
        <w:pStyle w:val="Compact"/>
        <w:numPr>
          <w:ilvl w:val="0"/>
          <w:numId w:val="1003"/>
        </w:numPr>
      </w:pPr>
      <w:r>
        <w:t xml:space="preserve">The European Commission supports the delivery of performing device connectivity to the edge with distributed user plane functions.</w:t>
      </w:r>
    </w:p>
    <w:p>
      <w:pPr>
        <w:pStyle w:val="Compact"/>
        <w:numPr>
          <w:ilvl w:val="0"/>
          <w:numId w:val="1003"/>
        </w:numPr>
      </w:pPr>
      <w:r>
        <w:t xml:space="preserve">The European Commission supports the deployment of multi-provider edge cloud federation with peer-to-peer relationships.</w:t>
      </w:r>
    </w:p>
    <w:p>
      <w:pPr>
        <w:pStyle w:val="Compact"/>
        <w:numPr>
          <w:ilvl w:val="0"/>
          <w:numId w:val="1003"/>
        </w:numPr>
      </w:pPr>
      <w:r>
        <w:t xml:space="preserve">The European Commission supports the deployment of a reference test bed for edge-to-cloud continuum deployment as a blueprint for large scale deployment.</w:t>
      </w:r>
    </w:p>
    <w:p>
      <w:pPr>
        <w:pStyle w:val="Compact"/>
        <w:numPr>
          <w:ilvl w:val="0"/>
          <w:numId w:val="1003"/>
        </w:numPr>
      </w:pPr>
      <w:r>
        <w:t xml:space="preserve">The European Commission supports the development of edge-to-cloud service management open specifications and APIs.</w:t>
      </w:r>
    </w:p>
    <w:p>
      <w:pPr>
        <w:pStyle w:val="Compact"/>
        <w:numPr>
          <w:ilvl w:val="0"/>
          <w:numId w:val="1003"/>
        </w:numPr>
      </w:pPr>
      <w:r>
        <w:t xml:space="preserve">The European Commission supports the development of edge-to-cloud dynamic application lifecycle orchestration engines.</w:t>
      </w:r>
    </w:p>
    <w:p>
      <w:pPr>
        <w:pStyle w:val="Compact"/>
        <w:numPr>
          <w:ilvl w:val="0"/>
          <w:numId w:val="1003"/>
        </w:numPr>
      </w:pPr>
      <w:r>
        <w:t xml:space="preserve">The European Commission supports the development of end-to-end quality of service as code for edge-to-cloud continuum.</w:t>
      </w:r>
    </w:p>
    <w:p>
      <w:pPr>
        <w:pStyle w:val="Compact"/>
        <w:numPr>
          <w:ilvl w:val="0"/>
          <w:numId w:val="1003"/>
        </w:numPr>
      </w:pPr>
      <w:r>
        <w:t xml:space="preserve">The European Commission supports the development of edge-to-cloud serverless services and HPC serverless services.</w:t>
      </w:r>
    </w:p>
    <w:p>
      <w:pPr>
        <w:pStyle w:val="Compact"/>
        <w:numPr>
          <w:ilvl w:val="0"/>
          <w:numId w:val="1003"/>
        </w:numPr>
      </w:pPr>
      <w:r>
        <w:t xml:space="preserve">The European Commission supports the development of edge-to-cloud quantum computing services integrated into cloud infrastructures.</w:t>
      </w:r>
    </w:p>
    <w:p>
      <w:pPr>
        <w:pStyle w:val="Compact"/>
        <w:numPr>
          <w:ilvl w:val="0"/>
          <w:numId w:val="1003"/>
        </w:numPr>
      </w:pPr>
      <w:r>
        <w:t xml:space="preserve">The European Commission supports the development of advanced simulation and prediction capabilities for data centre operation to improve sustainability.</w:t>
      </w:r>
    </w:p>
    <w:p>
      <w:pPr>
        <w:pStyle w:val="Compact"/>
        <w:numPr>
          <w:ilvl w:val="0"/>
          <w:numId w:val="1003"/>
        </w:numPr>
      </w:pPr>
      <w:r>
        <w:t xml:space="preserve">The European Commission supports the development of optimised data centre design blueprints for edge and cloud considering regional conditions.</w:t>
      </w:r>
    </w:p>
    <w:p>
      <w:pPr>
        <w:pStyle w:val="Compact"/>
        <w:numPr>
          <w:ilvl w:val="0"/>
          <w:numId w:val="1003"/>
        </w:numPr>
      </w:pPr>
      <w:r>
        <w:t xml:space="preserve">The European Commission supports the delivery of sustainable data centre blueprints and integration of waste heat reuse and green hydrogen energy supply.</w:t>
      </w:r>
    </w:p>
    <w:p>
      <w:pPr>
        <w:pStyle w:val="Compact"/>
        <w:numPr>
          <w:ilvl w:val="0"/>
          <w:numId w:val="1003"/>
        </w:numPr>
      </w:pPr>
      <w:r>
        <w:t xml:space="preserve">The European Commission supports the development of management and monitoring software for hardware operation to handle millions of heterogeneous devices.</w:t>
      </w:r>
    </w:p>
    <w:p>
      <w:pPr>
        <w:pStyle w:val="Compact"/>
        <w:numPr>
          <w:ilvl w:val="0"/>
          <w:numId w:val="1003"/>
        </w:numPr>
      </w:pPr>
      <w:r>
        <w:t xml:space="preserve">The European Commission supports the development of infrastructure management and control interfaces for federated multi-provider cloud environments.</w:t>
      </w:r>
    </w:p>
    <w:p>
      <w:pPr>
        <w:pStyle w:val="Compact"/>
        <w:numPr>
          <w:ilvl w:val="0"/>
          <w:numId w:val="1003"/>
        </w:numPr>
      </w:pPr>
      <w:r>
        <w:t xml:space="preserve">The European Commission supports the development of open hardware micro-controllers and open hardware ecosystems.</w:t>
      </w:r>
    </w:p>
    <w:p>
      <w:pPr>
        <w:pStyle w:val="Compact"/>
        <w:numPr>
          <w:ilvl w:val="0"/>
          <w:numId w:val="1003"/>
        </w:numPr>
      </w:pPr>
      <w:r>
        <w:t xml:space="preserve">The European Commission supports the development of print-and-go local manufacturing for IT equipment.</w:t>
      </w:r>
    </w:p>
    <w:p>
      <w:pPr>
        <w:pStyle w:val="Compact"/>
        <w:numPr>
          <w:ilvl w:val="0"/>
          <w:numId w:val="1003"/>
        </w:numPr>
      </w:pPr>
      <w:r>
        <w:t xml:space="preserve">The European Commission supports the promotion of open source adoption and education to foster innovation and sovereignty.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2025-06-19T15:47:03Z</dcterms:created>
  <dcterms:modified xsi:type="dcterms:W3CDTF">2025-06-19T15:47:03Z</dcterms:modified>
</cp:coreProperties>
</file>

<file path=docProps/custom.xml><?xml version="1.0" encoding="utf-8"?>
<Properties xmlns="http://schemas.openxmlformats.org/officeDocument/2006/custom-properties" xmlns:vt="http://schemas.openxmlformats.org/officeDocument/2006/docPropsVTypes"/>
</file>