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9eba780d5a5e86600adf4ea1a36c54686b7113f"/>
    <w:p>
      <w:pPr>
        <w:pStyle w:val="Heading1"/>
      </w:pPr>
      <w:r>
        <w:t xml:space="preserve">Ninth High Level Dialogue between the European Union and Bolivia – 30 January 2025</w:t>
      </w:r>
    </w:p>
    <w:p>
      <w:pPr>
        <w:pStyle w:val="FirstParagraph"/>
      </w:pPr>
      <w:r>
        <w:rPr>
          <w:b/>
          <w:bCs/>
        </w:rPr>
        <w:t xml:space="preserve">Date</w:t>
      </w:r>
      <w:r>
        <w:t xml:space="preserve">: 2025-01-30</w:t>
      </w:r>
    </w:p>
    <w:p>
      <w:pPr>
        <w:pStyle w:val="BodyText"/>
      </w:pPr>
      <w:r>
        <w:rPr>
          <w:b/>
          <w:bCs/>
        </w:rPr>
        <w:t xml:space="preserve">Location</w:t>
      </w:r>
      <w:r>
        <w:t xml:space="preserve">: Brussels, Belgium</w:t>
      </w:r>
    </w:p>
    <w:bookmarkStart w:id="20" w:name="executive-summary"/>
    <w:p>
      <w:pPr>
        <w:pStyle w:val="Heading2"/>
      </w:pPr>
      <w:r>
        <w:t xml:space="preserve">Executive Summary</w:t>
      </w:r>
    </w:p>
    <w:p>
      <w:pPr>
        <w:pStyle w:val="FirstParagraph"/>
      </w:pPr>
      <w:r>
        <w:t xml:space="preserve">The ninth High Level Dialogue between the EU and Bolivia, held in Brussels on 30 January 2025, focused on strengthening bilateral relations, cooperation on environment, climate change, governance, human rights, and renewable energy development, particularly lithium. The EU supports Bolivia through the EU-Bolivia Multiannual Indicative Programme (€134 million) and the EU-LAC Global Gateway Investment Agenda. Both parties agreed to diversify trade, enhance investments, and address cocaine trafficking and organized crime, with plans to deepen cooperation between EUROPOL and Bolivia. The EU reaffirmed support for Ukraine amid Russia’s aggression and called for humanitarian improvements in Gaza. They emphasized regional cooperation via the EU-CELAC dialogue and welcomed Bolivia’s accession to MERCOSUR and the EU-LAC Digital Alliance. The dialogue underscored commitments to multilateralism, human rights, and sustainable development, with ongoing high-level exchanges between delegations to promote democratic institutions and better living conditions in Bolivia.</w:t>
      </w:r>
    </w:p>
    <w:bookmarkEnd w:id="20"/>
    <w:bookmarkStart w:id="21" w:name="characteristics"/>
    <w:p>
      <w:pPr>
        <w:pStyle w:val="Heading2"/>
      </w:pPr>
      <w:r>
        <w:t xml:space="preserve">Characteristics</w:t>
      </w:r>
    </w:p>
    <w:p>
      <w:pPr>
        <w:pStyle w:val="Compact"/>
        <w:numPr>
          <w:ilvl w:val="0"/>
          <w:numId w:val="1001"/>
        </w:numPr>
      </w:pPr>
      <w:r>
        <w:t xml:space="preserve">The ninth High Level Dialogue between the EU and Bolivia was held in Brussels on 30 January 2025, focusing on diplomatic relations, sectoral cooperation, and international issues.</w:t>
      </w:r>
    </w:p>
    <w:p>
      <w:pPr>
        <w:pStyle w:val="Compact"/>
        <w:numPr>
          <w:ilvl w:val="0"/>
          <w:numId w:val="1001"/>
        </w:numPr>
      </w:pPr>
      <w:r>
        <w:t xml:space="preserve">The EU reaffirmed support for Bolivia in environment, climate change, governance, human rights, renewable energy, and responsible investments in lithium, backed by a €134 million Multiannual Indicative Programme (2021-2027).</w:t>
      </w:r>
    </w:p>
    <w:p>
      <w:pPr>
        <w:pStyle w:val="Compact"/>
        <w:numPr>
          <w:ilvl w:val="0"/>
          <w:numId w:val="1001"/>
        </w:numPr>
      </w:pPr>
      <w:r>
        <w:t xml:space="preserve">Both parties agreed to enhance bilateral trade, investment, and cooperation against cocaine trafficking and organized crime, including operational exchanges between EUROPOL and Bolivia.</w:t>
      </w:r>
    </w:p>
    <w:p>
      <w:pPr>
        <w:pStyle w:val="Compact"/>
        <w:numPr>
          <w:ilvl w:val="0"/>
          <w:numId w:val="1001"/>
        </w:numPr>
      </w:pPr>
      <w:r>
        <w:t xml:space="preserve">The EU reiterated support for Ukraine amid Russia’s war and called for humanitarian improvements in Gaza, emphasizing multilateralism and human rights.</w:t>
      </w:r>
    </w:p>
    <w:p>
      <w:pPr>
        <w:pStyle w:val="Compact"/>
        <w:numPr>
          <w:ilvl w:val="0"/>
          <w:numId w:val="1001"/>
        </w:numPr>
      </w:pPr>
      <w:r>
        <w:t xml:space="preserve">Bolivia’s accession to MERCOSUR and the EU-LAC Digital Alliance was welcomed, with a focus on cooperation through the EU-CELAC dialogue and the 2025 EU-CELAC Summit in Colombia.</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European Union; EU Delegations; Governments; Government Officials; Community of Latin American and Caribbean States; Southern Common Market; European Commission</w:t>
            </w:r>
          </w:p>
        </w:tc>
      </w:tr>
      <w:tr>
        <w:tc>
          <w:tcPr/>
          <w:p>
            <w:pPr>
              <w:pStyle w:val="Compact"/>
            </w:pPr>
            <w:r>
              <w:t xml:space="preserve">Research and Innovation Actors</w:t>
            </w:r>
          </w:p>
        </w:tc>
        <w:tc>
          <w:tcPr/>
          <w:p>
            <w:pPr>
              <w:pStyle w:val="Compact"/>
            </w:pPr>
            <w:r>
              <w:t xml:space="preserve">EU-LAC Digital Alliance</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Regional &amp; International Cooperation</w:t>
            </w:r>
          </w:p>
        </w:tc>
        <w:tc>
          <w:tcPr/>
          <w:p>
            <w:pPr>
              <w:pStyle w:val="Compact"/>
            </w:pPr>
            <w:r>
              <w:t xml:space="preserve">EU-LAC Digital Alliance; Bi-regional Cooperation; Digital &amp; Technological Partnerships</w:t>
            </w:r>
          </w:p>
        </w:tc>
      </w:tr>
      <w:tr>
        <w:tc>
          <w:tcPr/>
          <w:p>
            <w:pPr>
              <w:pStyle w:val="Compact"/>
            </w:pPr>
            <w:r>
              <w:t xml:space="preserve">Digital Transformation &amp; Strategy</w:t>
            </w:r>
          </w:p>
        </w:tc>
        <w:tc>
          <w:tcPr/>
          <w:p>
            <w:pPr>
              <w:pStyle w:val="Compact"/>
            </w:pPr>
            <w:r>
              <w:t xml:space="preserve">Digital Investment</w:t>
            </w:r>
          </w:p>
        </w:tc>
      </w:tr>
      <w:tr>
        <w:tc>
          <w:tcPr/>
          <w:p>
            <w:pPr>
              <w:pStyle w:val="Compact"/>
            </w:pPr>
            <w:r>
              <w:t xml:space="preserve">Inclusion &amp; Social Development</w:t>
            </w:r>
          </w:p>
        </w:tc>
        <w:tc>
          <w:tcPr/>
          <w:p>
            <w:pPr>
              <w:pStyle w:val="Compact"/>
            </w:pPr>
            <w:r>
              <w:t xml:space="preserve">Sustainable Digital Development</w:t>
            </w:r>
          </w:p>
        </w:tc>
      </w:tr>
      <w:tr>
        <w:tc>
          <w:tcPr/>
          <w:p>
            <w:pPr>
              <w:pStyle w:val="Compact"/>
            </w:pPr>
            <w:r>
              <w:t xml:space="preserve">Data &amp; Governance</w:t>
            </w:r>
          </w:p>
        </w:tc>
        <w:tc>
          <w:tcPr/>
          <w:p>
            <w:pPr>
              <w:pStyle w:val="Compact"/>
            </w:pPr>
            <w:r>
              <w:t xml:space="preserve">Digital Governance</w:t>
            </w:r>
          </w:p>
        </w:tc>
      </w:tr>
    </w:tbl>
    <w:bookmarkEnd w:id="23"/>
    <w:bookmarkStart w:id="24" w:name="practical-applications"/>
    <w:p>
      <w:pPr>
        <w:pStyle w:val="Heading2"/>
      </w:pPr>
      <w:r>
        <w:t xml:space="preserve">Practical Applications</w:t>
      </w:r>
    </w:p>
    <w:p>
      <w:pPr>
        <w:pStyle w:val="Compact"/>
        <w:numPr>
          <w:ilvl w:val="0"/>
          <w:numId w:val="1002"/>
        </w:numPr>
      </w:pPr>
      <w:r>
        <w:t xml:space="preserve">Implementation of the EU-Bolivia Multiannual Indicative Programme (2021-2027) with an allocation of €134 million to support activities related to environment, climate change, governance, human rights, development of renewable energy resources, and socially and environmentally responsible investments in critical raw materials, mainly lithium.</w:t>
      </w:r>
    </w:p>
    <w:p>
      <w:pPr>
        <w:pStyle w:val="Compact"/>
        <w:numPr>
          <w:ilvl w:val="0"/>
          <w:numId w:val="1002"/>
        </w:numPr>
      </w:pPr>
      <w:r>
        <w:t xml:space="preserve">Promotion of Bolivia’s incorporation into MERCOSUR by the EU to diversify bilateral trade and enhance investment flows.</w:t>
      </w:r>
    </w:p>
    <w:p>
      <w:pPr>
        <w:pStyle w:val="Compact"/>
        <w:numPr>
          <w:ilvl w:val="0"/>
          <w:numId w:val="1002"/>
        </w:numPr>
      </w:pPr>
      <w:r>
        <w:t xml:space="preserve">Ongoing cooperation to tackle cocaine trafficking and organized crime, including efforts to consolidate the bi-regional response during the upcoming Ministerial meeting between the EU and the Latin American Committee on Internal Security (CLASI).</w:t>
      </w:r>
    </w:p>
    <w:p>
      <w:pPr>
        <w:pStyle w:val="Compact"/>
        <w:numPr>
          <w:ilvl w:val="0"/>
          <w:numId w:val="1002"/>
        </w:numPr>
      </w:pPr>
      <w:r>
        <w:t xml:space="preserve">Negotiations to conclude an international agreement to deepen operational exchanges between EUROPOL and Bolivia.</w:t>
      </w:r>
    </w:p>
    <w:p>
      <w:pPr>
        <w:pStyle w:val="Compact"/>
        <w:numPr>
          <w:ilvl w:val="0"/>
          <w:numId w:val="1002"/>
        </w:numPr>
      </w:pPr>
      <w:r>
        <w:t xml:space="preserve">Bolivia’s accession to the EU-LAC Digital Alliance, facilitating digital cooperation.</w:t>
      </w:r>
    </w:p>
    <w:p>
      <w:pPr>
        <w:pStyle w:val="Compact"/>
        <w:numPr>
          <w:ilvl w:val="0"/>
          <w:numId w:val="1002"/>
        </w:numPr>
      </w:pPr>
      <w:r>
        <w:t xml:space="preserve">Cooperation at the regional level through the dialogue between the EU and the Community of Latin American and Caribbean States (CELAC), aiming for concrete results and investments under the Global Gateway Investment Agenda, including preparations for the 2025 EU-CELAC Summit in Colombia.</w:t>
      </w:r>
    </w:p>
    <w:bookmarkEnd w:id="24"/>
    <w:bookmarkStart w:id="25" w:name="commitments"/>
    <w:p>
      <w:pPr>
        <w:pStyle w:val="Heading2"/>
      </w:pPr>
      <w:r>
        <w:t xml:space="preserve">Commitments</w:t>
      </w:r>
    </w:p>
    <w:p>
      <w:pPr>
        <w:pStyle w:val="Compact"/>
        <w:numPr>
          <w:ilvl w:val="0"/>
          <w:numId w:val="1003"/>
        </w:numPr>
      </w:pPr>
      <w:r>
        <w:t xml:space="preserve">EU-Bolivia Multiannual Indicative Programme (2021-2027) with an allocation of €134 million to support activities related to environment, climate change, governance, human rights, renewable energy development, and socially and environmentally responsible investments in critical raw materials, mainly lithium.</w:t>
      </w:r>
    </w:p>
    <w:p>
      <w:pPr>
        <w:pStyle w:val="Compact"/>
        <w:numPr>
          <w:ilvl w:val="0"/>
          <w:numId w:val="1003"/>
        </w:numPr>
      </w:pPr>
      <w:r>
        <w:t xml:space="preserve">Commitment to work for the 2025 EU-CELAC Summit in Colombia to produce concrete results, including investments under the Global Gateway Investment Agenda.</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2025-06-19T15:59:27Z</dcterms:created>
  <dcterms:modified xsi:type="dcterms:W3CDTF">2025-06-19T15:59:27Z</dcterms:modified>
</cp:coreProperties>
</file>

<file path=docProps/custom.xml><?xml version="1.0" encoding="utf-8"?>
<Properties xmlns="http://schemas.openxmlformats.org/officeDocument/2006/custom-properties" xmlns:vt="http://schemas.openxmlformats.org/officeDocument/2006/docPropsVTypes"/>
</file>