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258024521ee53545d07d0aa69253cec2092703"/>
    <w:p>
      <w:pPr>
        <w:pStyle w:val="Heading1"/>
      </w:pPr>
      <w:r>
        <w:t xml:space="preserve">EU-Latin America and Caribbean Dialogues on Sustainable Food Systems and EU-Central America Cooperation</w:t>
      </w:r>
    </w:p>
    <w:p>
      <w:pPr>
        <w:pStyle w:val="FirstParagraph"/>
      </w:pPr>
      <w:r>
        <w:rPr>
          <w:b/>
          <w:bCs/>
        </w:rPr>
        <w:t xml:space="preserve">Date</w:t>
      </w:r>
      <w:r>
        <w:t xml:space="preserve">: 2022-03-22</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EU-Latin America and the Caribbean (LAC) Dialogues on Sustainable Food Systems aim to foster strategic partnerships to accelerate the transition to sustainable agriculture and food systems. Supported by the EU’s Foreign Policy Instruments and the EU-LAC Policy Dialogue Facility, these dialogues include four sub-regional workshops and a concluding bi-regional conference in 2022. The first workshop with Central America in March 2022 featured policymakers from the EU, Central American governments, and private sector representatives discussing shared priorities such as soil health, sustainable pesticide use, and reducing food loss and waste. The dialogues emphasize the EU’s Farm to Fork Strategy and the Green Deal’s recognition of food systems’ impact on climate change and biodiversity loss. Both regions, linked by a decade-old Association Agreement, committed to ongoing cooperation to build resilient, sustainable food systems amid global challenges like the pandemic and food security threats.</w:t>
      </w:r>
    </w:p>
    <w:bookmarkEnd w:id="20"/>
    <w:bookmarkStart w:id="21" w:name="characteristics"/>
    <w:p>
      <w:pPr>
        <w:pStyle w:val="Heading2"/>
      </w:pPr>
      <w:r>
        <w:t xml:space="preserve">Characteristics</w:t>
      </w:r>
    </w:p>
    <w:p>
      <w:pPr>
        <w:pStyle w:val="Compact"/>
        <w:numPr>
          <w:ilvl w:val="0"/>
          <w:numId w:val="1001"/>
        </w:numPr>
      </w:pPr>
      <w:r>
        <w:t xml:space="preserve">The EU-LAC Dialogues focus on accelerating the transition to sustainable food systems and agricultural production through strategic partnerships between the EU and Latin America and the Caribbean.</w:t>
      </w:r>
    </w:p>
    <w:p>
      <w:pPr>
        <w:pStyle w:val="Compact"/>
        <w:numPr>
          <w:ilvl w:val="0"/>
          <w:numId w:val="1001"/>
        </w:numPr>
      </w:pPr>
      <w:r>
        <w:t xml:space="preserve">The dialogues include four sub-regional workshops and a concluding bi-regional conference, covering topics like sustainable agriculture, pesticide use, food loss and waste, and soil protection.</w:t>
      </w:r>
    </w:p>
    <w:p>
      <w:pPr>
        <w:pStyle w:val="Compact"/>
        <w:numPr>
          <w:ilvl w:val="0"/>
          <w:numId w:val="1001"/>
        </w:numPr>
      </w:pPr>
      <w:r>
        <w:t xml:space="preserve">The EU Farm to Fork Strategy and the Green Deal are central frameworks guiding discussions on reducing climate change, biodiversity loss, and environmental degradation caused by food systems.</w:t>
      </w:r>
    </w:p>
    <w:p>
      <w:pPr>
        <w:pStyle w:val="Compact"/>
        <w:numPr>
          <w:ilvl w:val="0"/>
          <w:numId w:val="1001"/>
        </w:numPr>
      </w:pPr>
      <w:r>
        <w:t xml:space="preserve">The EU and Central America engage in policy dialogues involving government and private sector representatives to share perspectives and develop cooperative strategies for sustainable food systems.</w:t>
      </w:r>
    </w:p>
    <w:p>
      <w:pPr>
        <w:pStyle w:val="Compact"/>
        <w:numPr>
          <w:ilvl w:val="0"/>
          <w:numId w:val="1001"/>
        </w:numPr>
      </w:pPr>
      <w:r>
        <w:t xml:space="preserve">Key issues addressed include health and soils, sustainable pesticide use, and reducing food loss and waste, with a commitment to ongoing dialogue and collaboration to build resilient global food systems.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European Commission; Secretariat for Central American Economic Integration; Community of Latin American and Caribbean States; Southern Common Market</w:t>
            </w:r>
          </w:p>
        </w:tc>
      </w:tr>
      <w:tr>
        <w:tc>
          <w:tcPr/>
          <w:p>
            <w:pPr>
              <w:pStyle w:val="Compact"/>
            </w:pPr>
            <w:r>
              <w:t xml:space="preserve">Economic Actors</w:t>
            </w:r>
          </w:p>
        </w:tc>
        <w:tc>
          <w:tcPr/>
          <w:p>
            <w:pPr>
              <w:pStyle w:val="Compact"/>
            </w:pPr>
            <w:r>
              <w:t xml:space="preserve">Secretariat for Central American Economic Integration</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w:t>
            </w:r>
          </w:p>
        </w:tc>
      </w:tr>
      <w:tr>
        <w:tc>
          <w:tcPr/>
          <w:p>
            <w:pPr>
              <w:pStyle w:val="Compact"/>
            </w:pPr>
            <w:r>
              <w:t xml:space="preserve">Digital Transformation &amp; Strategy</w:t>
            </w:r>
          </w:p>
        </w:tc>
        <w:tc>
          <w:tcPr/>
          <w:p>
            <w:pPr>
              <w:pStyle w:val="Compact"/>
            </w:pPr>
            <w:r>
              <w:t xml:space="preserve">Digital Agenda</w:t>
            </w:r>
          </w:p>
        </w:tc>
      </w:tr>
    </w:tbl>
    <w:bookmarkEnd w:id="23"/>
    <w:bookmarkStart w:id="24" w:name="practical-applications"/>
    <w:p>
      <w:pPr>
        <w:pStyle w:val="Heading2"/>
      </w:pPr>
      <w:r>
        <w:t xml:space="preserve">Practical Applications</w:t>
      </w:r>
    </w:p>
    <w:p>
      <w:pPr>
        <w:pStyle w:val="Compact"/>
        <w:numPr>
          <w:ilvl w:val="0"/>
          <w:numId w:val="1002"/>
        </w:numPr>
      </w:pPr>
      <w:r>
        <w:t xml:space="preserve">Organisation of EU-Latin America and the Caribbean (LAC) Dialogues on Sustainable Food Systems, supported by the Foreign Policy Instruments (FPI) and the EU-Lac Policy Dialogue Facility, including four sub-regional workshops and a concluding bi-regional conference.</w:t>
      </w:r>
    </w:p>
    <w:p>
      <w:pPr>
        <w:pStyle w:val="Compact"/>
        <w:numPr>
          <w:ilvl w:val="0"/>
          <w:numId w:val="1002"/>
        </w:numPr>
      </w:pPr>
      <w:r>
        <w:t xml:space="preserve">Conducting sub-regional workshops such as the EU-Central America Dialogue (March 2022), EU-Mercosur and Chile Dialogue (May 2022), and EU-Colombia, Ecuador and Peru Dialogue (September 2022) focusing on sustainable agriculture, sustainable food systems, sustainable use of pesticides, food loss and waste reduction, and soil protection.</w:t>
      </w:r>
    </w:p>
    <w:p>
      <w:pPr>
        <w:pStyle w:val="Compact"/>
        <w:numPr>
          <w:ilvl w:val="0"/>
          <w:numId w:val="1002"/>
        </w:numPr>
      </w:pPr>
      <w:r>
        <w:t xml:space="preserve">Engagement of policy makers from the EU, Central American governments, the Secretariat for Central American Economic Integration (SIECA), and the Central American private sector in dialogues to share perspectives and strategies on sustainable food systems.</w:t>
      </w:r>
    </w:p>
    <w:p>
      <w:pPr>
        <w:pStyle w:val="Compact"/>
        <w:numPr>
          <w:ilvl w:val="0"/>
          <w:numId w:val="1002"/>
        </w:numPr>
      </w:pPr>
      <w:r>
        <w:t xml:space="preserve">Promotion of bi-regional cooperation and strategic partnerships under the framework of the EU-Central America Association Agreement to strengthen exchanges and joint construction of sustainable food systems.</w:t>
      </w:r>
    </w:p>
    <w:p>
      <w:pPr>
        <w:pStyle w:val="Compact"/>
        <w:numPr>
          <w:ilvl w:val="0"/>
          <w:numId w:val="1002"/>
        </w:numPr>
      </w:pPr>
      <w:r>
        <w:t xml:space="preserve">Focus on key elements such as healthy soils, sustainable pesticide use, and food loss and waste reduction as decisive parameters for sustainable food systems in the dialogues.</w:t>
      </w:r>
    </w:p>
    <w:p>
      <w:pPr>
        <w:pStyle w:val="Compact"/>
        <w:numPr>
          <w:ilvl w:val="0"/>
          <w:numId w:val="1002"/>
        </w:numPr>
      </w:pPr>
      <w:r>
        <w:t xml:space="preserve">Commitment to continue dialogues and build synergies for the transition to sustainable and more resilient food systems at the global level.</w:t>
      </w:r>
    </w:p>
    <w:bookmarkEnd w:id="24"/>
    <w:bookmarkStart w:id="25" w:name="commitments"/>
    <w:p>
      <w:pPr>
        <w:pStyle w:val="Heading2"/>
      </w:pPr>
      <w:r>
        <w:t xml:space="preserve">Commitments</w:t>
      </w:r>
    </w:p>
    <w:p>
      <w:pPr>
        <w:pStyle w:val="Compact"/>
        <w:numPr>
          <w:ilvl w:val="0"/>
          <w:numId w:val="1003"/>
        </w:numPr>
      </w:pPr>
      <w:r>
        <w:t xml:space="preserve">Organize a total of four sub-regional workshops on Sustainable Food Systems, concluding with a bi-regional conference expected to take place at the end of 2022.</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2025-06-19T16:19:29Z</dcterms:created>
  <dcterms:modified xsi:type="dcterms:W3CDTF">2025-06-19T16:19:29Z</dcterms:modified>
</cp:coreProperties>
</file>

<file path=docProps/custom.xml><?xml version="1.0" encoding="utf-8"?>
<Properties xmlns="http://schemas.openxmlformats.org/officeDocument/2006/custom-properties" xmlns:vt="http://schemas.openxmlformats.org/officeDocument/2006/docPropsVTypes"/>
</file>