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e6bc86ae4500e9494c6160799c21695d4965fc"/>
    <w:p>
      <w:pPr>
        <w:pStyle w:val="Heading1"/>
      </w:pPr>
      <w:r>
        <w:t xml:space="preserve">Exploring the Potential of Artificial Intelligence in EU-LAC Relations: Policy Dialogue and Cooperation</w:t>
      </w:r>
    </w:p>
    <w:p>
      <w:pPr>
        <w:pStyle w:val="FirstParagraph"/>
      </w:pPr>
      <w:r>
        <w:rPr>
          <w:b/>
          <w:bCs/>
        </w:rPr>
        <w:t xml:space="preserve">Date</w:t>
      </w:r>
      <w:r>
        <w:t xml:space="preserve">: 2024-03-13</w:t>
      </w:r>
    </w:p>
    <w:p>
      <w:pPr>
        <w:pStyle w:val="BodyText"/>
      </w:pPr>
      <w:r>
        <w:rPr>
          <w:b/>
          <w:bCs/>
        </w:rPr>
        <w:t xml:space="preserve">Location</w:t>
      </w:r>
      <w:r>
        <w:t xml:space="preserve">: Montevideo, Uruguay</w:t>
      </w:r>
    </w:p>
    <w:bookmarkStart w:id="20" w:name="executive-summary"/>
    <w:p>
      <w:pPr>
        <w:pStyle w:val="Heading2"/>
      </w:pPr>
      <w:r>
        <w:t xml:space="preserve">Executive Summary</w:t>
      </w:r>
    </w:p>
    <w:p>
      <w:pPr>
        <w:pStyle w:val="FirstParagraph"/>
      </w:pPr>
      <w:r>
        <w:t xml:space="preserve">The EU-LAC Digital Alliance held a Policy Dialogue on Artificial Intelligence in Montevideo on 13 March 2024, focusing on harnessing AI’s socio-economic benefits while managing risks. Key participants included EU and Latin American and Caribbean (LAC) representatives, with discussions centered on governance, regulatory convergence, training, capacity building, and AI applications for sustainable development. The EU presented its AI Act promoting human-centric, trustworthy AI, aligning with LAC countries’ emerging AI policies. The dialogue emphasized shared values to foster collaboration and showcased AI use cases in the public sector. Follow-up initiatives include policymaker training and a €4 million EU-UNESCO project supporting ethical AI implementation. This event supports ongoing EU-LAC cooperation in digital transformation, complementing preparations for the eLAC 2024 Ministerial Conference and advancing the agenda set at the 2023 EU-LAC Digital Alliance conference.</w:t>
      </w:r>
    </w:p>
    <w:bookmarkEnd w:id="20"/>
    <w:bookmarkStart w:id="21" w:name="characteristics"/>
    <w:p>
      <w:pPr>
        <w:pStyle w:val="Heading2"/>
      </w:pPr>
      <w:r>
        <w:t xml:space="preserve">Characteristics</w:t>
      </w:r>
    </w:p>
    <w:p>
      <w:pPr>
        <w:pStyle w:val="Compact"/>
        <w:numPr>
          <w:ilvl w:val="0"/>
          <w:numId w:val="1001"/>
        </w:numPr>
      </w:pPr>
      <w:r>
        <w:t xml:space="preserve">The EU-LAC Digital Alliance held a Policy Dialogue on AI in Montevideo on 13 March 2024, focusing on risks, opportunities, and socio-economic growth through AI.</w:t>
      </w:r>
    </w:p>
    <w:p>
      <w:pPr>
        <w:pStyle w:val="Compact"/>
        <w:numPr>
          <w:ilvl w:val="0"/>
          <w:numId w:val="1001"/>
        </w:numPr>
      </w:pPr>
      <w:r>
        <w:t xml:space="preserve">Key topics included governance and regulatory convergence, training and capacity building, and AI applications for sustainable development.</w:t>
      </w:r>
    </w:p>
    <w:p>
      <w:pPr>
        <w:pStyle w:val="Compact"/>
        <w:numPr>
          <w:ilvl w:val="0"/>
          <w:numId w:val="1001"/>
        </w:numPr>
      </w:pPr>
      <w:r>
        <w:t xml:space="preserve">The EU AI Act promotes human-centric, sustainable, secure, inclusive, and trustworthy AI, aligning with LAC countries’ national AI strategies.</w:t>
      </w:r>
    </w:p>
    <w:p>
      <w:pPr>
        <w:pStyle w:val="Compact"/>
        <w:numPr>
          <w:ilvl w:val="0"/>
          <w:numId w:val="1001"/>
        </w:numPr>
      </w:pPr>
      <w:r>
        <w:t xml:space="preserve">The dialogue involved multi-stakeholder participation from governments, civil society, academia, and the private sector in a hybrid format.</w:t>
      </w:r>
    </w:p>
    <w:p>
      <w:pPr>
        <w:pStyle w:val="Compact"/>
        <w:numPr>
          <w:ilvl w:val="0"/>
          <w:numId w:val="1001"/>
        </w:numPr>
      </w:pPr>
      <w:r>
        <w:t xml:space="preserve">Follow-up actions include training policymakers and a €4 million EU-UNESCO project supporting ethical AI implementation.</w:t>
      </w:r>
    </w:p>
    <w:p>
      <w:pPr>
        <w:pStyle w:val="Compact"/>
        <w:numPr>
          <w:ilvl w:val="0"/>
          <w:numId w:val="1001"/>
        </w:numPr>
      </w:pPr>
      <w:r>
        <w:t xml:space="preserve">The event supports ongoing EU-LAC cooperation in digital policy, linked to the upcoming eLAC 2024 Ministerial Conference.</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Commission; EU Delegations; United Nations; Community of Latin American and Caribbean States; Governments; Government Officials; Policy Level Representatives</w:t>
            </w:r>
          </w:p>
        </w:tc>
      </w:tr>
      <w:tr>
        <w:tc>
          <w:tcPr/>
          <w:p>
            <w:pPr>
              <w:pStyle w:val="Compact"/>
            </w:pPr>
            <w:r>
              <w:t xml:space="preserve">Research and Innovation Actors</w:t>
            </w:r>
          </w:p>
        </w:tc>
        <w:tc>
          <w:tcPr/>
          <w:p>
            <w:pPr>
              <w:pStyle w:val="Compact"/>
            </w:pPr>
            <w:r>
              <w:t xml:space="preserve">EU-LAC Digital Alliance; United Nations Officials</w:t>
            </w:r>
          </w:p>
        </w:tc>
      </w:tr>
      <w:tr>
        <w:tc>
          <w:tcPr/>
          <w:p>
            <w:pPr>
              <w:pStyle w:val="Compact"/>
            </w:pPr>
            <w:r>
              <w:t xml:space="preserve">Economic Actors</w:t>
            </w:r>
          </w:p>
        </w:tc>
        <w:tc>
          <w:tcPr/>
          <w:p>
            <w:pPr>
              <w:pStyle w:val="Compact"/>
            </w:pPr>
            <w:r>
              <w:t xml:space="preserve">Private Sector Representatives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Technology &amp; Innovation</w:t>
            </w:r>
          </w:p>
        </w:tc>
        <w:tc>
          <w:tcPr/>
          <w:p>
            <w:pPr>
              <w:pStyle w:val="Compact"/>
            </w:pPr>
            <w:r>
              <w:t xml:space="preserve">Artificial Intelligence; AI Ethics</w:t>
            </w:r>
          </w:p>
        </w:tc>
      </w:tr>
      <w:tr>
        <w:tc>
          <w:tcPr/>
          <w:p>
            <w:pPr>
              <w:pStyle w:val="Compact"/>
            </w:pPr>
            <w:r>
              <w:t xml:space="preserve">Regional &amp; International Cooperation</w:t>
            </w:r>
          </w:p>
        </w:tc>
        <w:tc>
          <w:tcPr/>
          <w:p>
            <w:pPr>
              <w:pStyle w:val="Compact"/>
            </w:pPr>
            <w:r>
              <w:t xml:space="preserve">EU-LAC Digital Alliance; Bi-regional Cooperation</w:t>
            </w:r>
          </w:p>
        </w:tc>
      </w:tr>
    </w:tbl>
    <w:bookmarkEnd w:id="23"/>
    <w:bookmarkStart w:id="24" w:name="practical-applications"/>
    <w:p>
      <w:pPr>
        <w:pStyle w:val="Heading2"/>
      </w:pPr>
      <w:r>
        <w:t xml:space="preserve">Practical Applications</w:t>
      </w:r>
    </w:p>
    <w:p>
      <w:pPr>
        <w:pStyle w:val="Compact"/>
        <w:numPr>
          <w:ilvl w:val="0"/>
          <w:numId w:val="1002"/>
        </w:numPr>
      </w:pPr>
      <w:r>
        <w:t xml:space="preserve">The EU-LAC Digital Alliance held a Policy Dialogue on Artificial Intelligence in Montevideo on 13 March 2024, involving representatives from the EU and Latin American and Caribbean countries to discuss AI governance, regulatory convergence, training, capacity building, and AI uses for sustainable development.</w:t>
      </w:r>
    </w:p>
    <w:p>
      <w:pPr>
        <w:pStyle w:val="Compact"/>
        <w:numPr>
          <w:ilvl w:val="0"/>
          <w:numId w:val="1002"/>
        </w:numPr>
      </w:pPr>
      <w:r>
        <w:t xml:space="preserve">The European Commission and UNESCO are collaborating on a €4 million project to support partners in implementing UNESCO’s Recommendation on the Ethics of AI.</w:t>
      </w:r>
    </w:p>
    <w:p>
      <w:pPr>
        <w:pStyle w:val="Compact"/>
        <w:numPr>
          <w:ilvl w:val="0"/>
          <w:numId w:val="1002"/>
        </w:numPr>
      </w:pPr>
      <w:r>
        <w:t xml:space="preserve">Latin American and Caribbean countries are formulating national AI policies and strategies to cultivate talent, stimulate research and innovation, and establish regulatory frameworks aligned with the EU’s human-centric AI approach.</w:t>
      </w:r>
    </w:p>
    <w:p>
      <w:pPr>
        <w:pStyle w:val="Compact"/>
        <w:numPr>
          <w:ilvl w:val="0"/>
          <w:numId w:val="1002"/>
        </w:numPr>
      </w:pPr>
      <w:r>
        <w:t xml:space="preserve">The EU-LAC Dialogue on AI builds on the EU-LAC Digital Alliance conference held in Cartagena de Indias in November 2023, with leadership from Chile, Brazil, Uruguay, Spain, Slovenia, and the European Commission.</w:t>
      </w:r>
    </w:p>
    <w:p>
      <w:pPr>
        <w:pStyle w:val="Compact"/>
        <w:numPr>
          <w:ilvl w:val="0"/>
          <w:numId w:val="1002"/>
        </w:numPr>
      </w:pPr>
      <w:r>
        <w:t xml:space="preserve">Training for policymakers is planned to help them leverage AI opportunities for sustainable development and public sector applications.</w:t>
      </w:r>
    </w:p>
    <w:p>
      <w:pPr>
        <w:pStyle w:val="Compact"/>
        <w:numPr>
          <w:ilvl w:val="0"/>
          <w:numId w:val="1002"/>
        </w:numPr>
      </w:pPr>
      <w:r>
        <w:t xml:space="preserve">The EU participates in related sessions on bi-regional digital cooperation and connectivity and 5G security as part of the preparatory activities for the IX Ministerial Conference on the Information Society (eLAC 2024).</w:t>
      </w:r>
    </w:p>
    <w:bookmarkEnd w:id="24"/>
    <w:bookmarkStart w:id="25" w:name="commitments"/>
    <w:p>
      <w:pPr>
        <w:pStyle w:val="Heading2"/>
      </w:pPr>
      <w:r>
        <w:t xml:space="preserve">Commitments</w:t>
      </w:r>
    </w:p>
    <w:p>
      <w:pPr>
        <w:pStyle w:val="Compact"/>
        <w:numPr>
          <w:ilvl w:val="0"/>
          <w:numId w:val="1003"/>
        </w:numPr>
      </w:pPr>
      <w:r>
        <w:t xml:space="preserve">The European Commission and UNESCO will work together on a €4 million project to support partners in the implementation of UNESCO’s Recommendation on the Ethics of AI.</w:t>
      </w:r>
    </w:p>
    <w:p>
      <w:pPr>
        <w:pStyle w:val="Compact"/>
        <w:numPr>
          <w:ilvl w:val="0"/>
          <w:numId w:val="1003"/>
        </w:numPr>
      </w:pPr>
      <w:r>
        <w:t xml:space="preserve">The IX Ministerial Conference on the Information Society (eLAC 2024) will be held in Chile in November 2024.</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2025-06-19T16:23:43Z</dcterms:created>
  <dcterms:modified xsi:type="dcterms:W3CDTF">2025-06-19T16:23:43Z</dcterms:modified>
</cp:coreProperties>
</file>

<file path=docProps/custom.xml><?xml version="1.0" encoding="utf-8"?>
<Properties xmlns="http://schemas.openxmlformats.org/officeDocument/2006/custom-properties" xmlns:vt="http://schemas.openxmlformats.org/officeDocument/2006/docPropsVTypes"/>
</file>