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a53b39f653ae428bb3b65f7a98ae5f2d5e4f15"/>
    <w:p>
      <w:pPr>
        <w:pStyle w:val="Heading1"/>
      </w:pPr>
      <w:r>
        <w:t xml:space="preserve">EU-LAC Multi-Stakeholder Forum on Cybersecurity and Secure Connectivity (Madrid, October 2024)</w:t>
      </w:r>
    </w:p>
    <w:p>
      <w:pPr>
        <w:pStyle w:val="FirstParagraph"/>
      </w:pPr>
      <w:r>
        <w:rPr>
          <w:b/>
          <w:bCs/>
        </w:rPr>
        <w:t xml:space="preserve">Date</w:t>
      </w:r>
      <w:r>
        <w:t xml:space="preserve">: 2024-10-23</w:t>
      </w:r>
    </w:p>
    <w:p>
      <w:pPr>
        <w:pStyle w:val="BodyText"/>
      </w:pPr>
      <w:r>
        <w:rPr>
          <w:b/>
          <w:bCs/>
        </w:rPr>
        <w:t xml:space="preserve">Location</w:t>
      </w:r>
      <w:r>
        <w:t xml:space="preserve">: Madrid, Spain</w:t>
      </w:r>
    </w:p>
    <w:bookmarkStart w:id="20" w:name="executive-summary"/>
    <w:p>
      <w:pPr>
        <w:pStyle w:val="Heading2"/>
      </w:pPr>
      <w:r>
        <w:t xml:space="preserve">Executive Summary</w:t>
      </w:r>
    </w:p>
    <w:p>
      <w:pPr>
        <w:pStyle w:val="FirstParagraph"/>
      </w:pPr>
      <w:r>
        <w:t xml:space="preserve">The EU-LAC Multi-Stakeholder Forum on Cybersecurity and Secure Connectivity, held in Madrid in October 2024, convened government, private sector, civil society, academia, and development actors to enhance bi-regional cooperation on cybersecurity and trusted digital connectivity. Building on the 2023 Santo Domingo Cybersecurity Dialogue, the forum focused on investment opportunities, capacity-building, resilient digital infrastructure, and secure data flows in Latin America and the Caribbean (LAC). Key discussions included digital infrastructure investments, cyber-resilience ecosystems, capacity-building tools, and secure connectivity standards. Participants included EU and LAC government representatives, European Commission bodies, multilateral banks, telecom companies, and civil society networks. Outcomes featured commitments to draft an investment and capacity-building roadmap by mid-2025, establish thematic working groups on risk management and regulatory alignment, and recognize RedCLARA and BELLA II as strategic enablers. The forum’s inputs will inform the upcoming EU-LAC Connectivity Dialogue in Chile and the EU-CELAC Summit 2025.</w:t>
      </w:r>
    </w:p>
    <w:bookmarkEnd w:id="20"/>
    <w:bookmarkStart w:id="21" w:name="characteristics"/>
    <w:p>
      <w:pPr>
        <w:pStyle w:val="Heading2"/>
      </w:pPr>
      <w:r>
        <w:t xml:space="preserve">Characteristics</w:t>
      </w:r>
    </w:p>
    <w:p>
      <w:pPr>
        <w:pStyle w:val="Compact"/>
        <w:numPr>
          <w:ilvl w:val="0"/>
          <w:numId w:val="1001"/>
        </w:numPr>
      </w:pPr>
      <w:r>
        <w:t xml:space="preserve">The EU-LAC Multi-Stakeholder Forum on Cybersecurity and Secure Connectivity (Madrid, Oct 2024) advances bi-regional cooperation on cybersecurity and trusted connectivity among governments, private sector, civil society, academia, and development actors.</w:t>
      </w:r>
    </w:p>
    <w:p>
      <w:pPr>
        <w:pStyle w:val="Compact"/>
        <w:numPr>
          <w:ilvl w:val="0"/>
          <w:numId w:val="1001"/>
        </w:numPr>
      </w:pPr>
      <w:r>
        <w:t xml:space="preserve">Key topics include boosting digital infrastructure investments in LAC, strengthening cyber-resilience ecosystems, capacity-building tools, and secure connectivity standards like 5G risk mitigation.</w:t>
      </w:r>
    </w:p>
    <w:p>
      <w:pPr>
        <w:pStyle w:val="Compact"/>
        <w:numPr>
          <w:ilvl w:val="0"/>
          <w:numId w:val="1001"/>
        </w:numPr>
      </w:pPr>
      <w:r>
        <w:t xml:space="preserve">Participants include high-level representatives from EU and LAC governments, European Commission, telecom companies, multilateral banks, development agencies, civil society, and academia.</w:t>
      </w:r>
    </w:p>
    <w:p>
      <w:pPr>
        <w:pStyle w:val="Compact"/>
        <w:numPr>
          <w:ilvl w:val="0"/>
          <w:numId w:val="1001"/>
        </w:numPr>
      </w:pPr>
      <w:r>
        <w:t xml:space="preserve">Outcomes feature a roadmap for investment and capacity-building, thematic working groups on risk management and regulatory alignment, and recognition of RedCLARA and BELLA II as strategic enablers.</w:t>
      </w:r>
    </w:p>
    <w:p>
      <w:pPr>
        <w:pStyle w:val="Compact"/>
        <w:numPr>
          <w:ilvl w:val="0"/>
          <w:numId w:val="1001"/>
        </w:numPr>
      </w:pPr>
      <w:r>
        <w:t xml:space="preserve">Next steps involve finalizing the roadmap by Q2 2025, reporting progress at the EU-LAC Connectivity Dialogue (Nov 2024) and EU-CELAC Summit 2025.</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 Member States; European Commission; Governments; Inter-American Development Bank</w:t>
            </w:r>
          </w:p>
        </w:tc>
      </w:tr>
      <w:tr>
        <w:tc>
          <w:tcPr/>
          <w:p>
            <w:pPr>
              <w:pStyle w:val="Compact"/>
            </w:pPr>
            <w:r>
              <w:t xml:space="preserve">Research and Innovation Actors</w:t>
            </w:r>
          </w:p>
        </w:tc>
        <w:tc>
          <w:tcPr/>
          <w:p>
            <w:pPr>
              <w:pStyle w:val="Compact"/>
            </w:pPr>
            <w:r>
              <w:t xml:space="preserve">EU-LAC Digital Alliance; Digital for Development Hub; Latin American Cooperation of Advanced Networks; Academic Institutions</w:t>
            </w:r>
          </w:p>
        </w:tc>
      </w:tr>
      <w:tr>
        <w:tc>
          <w:tcPr/>
          <w:p>
            <w:pPr>
              <w:pStyle w:val="Compact"/>
            </w:pPr>
            <w:r>
              <w:t xml:space="preserve">Economic Actors</w:t>
            </w:r>
          </w:p>
        </w:tc>
        <w:tc>
          <w:tcPr/>
          <w:p>
            <w:pPr>
              <w:pStyle w:val="Compact"/>
            </w:pPr>
            <w:r>
              <w:t xml:space="preserve">Inter-American Development Bank; Development Bank of Latin America and the Caribbean; Telecommunication Companies; ICT Companies; Private Sector Representatives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Digital &amp; Technological Partnerships</w:t>
            </w:r>
          </w:p>
        </w:tc>
      </w:tr>
      <w:tr>
        <w:tc>
          <w:tcPr/>
          <w:p>
            <w:pPr>
              <w:pStyle w:val="Compact"/>
            </w:pPr>
            <w:r>
              <w:t xml:space="preserve">Data &amp; Governance</w:t>
            </w:r>
          </w:p>
        </w:tc>
        <w:tc>
          <w:tcPr/>
          <w:p>
            <w:pPr>
              <w:pStyle w:val="Compact"/>
            </w:pPr>
            <w:r>
              <w:t xml:space="preserve">Cyber Risk Management; Digital Governance</w:t>
            </w:r>
          </w:p>
        </w:tc>
      </w:tr>
      <w:tr>
        <w:tc>
          <w:tcPr/>
          <w:p>
            <w:pPr>
              <w:pStyle w:val="Compact"/>
            </w:pPr>
            <w:r>
              <w:t xml:space="preserve">Digital Transformation &amp; Strategy</w:t>
            </w:r>
          </w:p>
        </w:tc>
        <w:tc>
          <w:tcPr/>
          <w:p>
            <w:pPr>
              <w:pStyle w:val="Compact"/>
            </w:pPr>
            <w:r>
              <w:t xml:space="preserve">Digital Infrastructure</w:t>
            </w:r>
          </w:p>
        </w:tc>
      </w:tr>
      <w:tr>
        <w:tc>
          <w:tcPr/>
          <w:p>
            <w:pPr>
              <w:pStyle w:val="Compact"/>
            </w:pPr>
            <w:r>
              <w:t xml:space="preserve">Technology &amp; Innovation</w:t>
            </w:r>
          </w:p>
        </w:tc>
        <w:tc>
          <w:tcPr/>
          <w:p>
            <w:pPr>
              <w:pStyle w:val="Compact"/>
            </w:pPr>
            <w:r>
              <w:t xml:space="preserve">5G</w:t>
            </w:r>
          </w:p>
        </w:tc>
      </w:tr>
    </w:tbl>
    <w:bookmarkEnd w:id="23"/>
    <w:bookmarkStart w:id="24" w:name="practical-applications"/>
    <w:p>
      <w:pPr>
        <w:pStyle w:val="Heading2"/>
      </w:pPr>
      <w:r>
        <w:t xml:space="preserve">Practical Applications</w:t>
      </w:r>
    </w:p>
    <w:p>
      <w:pPr>
        <w:pStyle w:val="Compact"/>
        <w:numPr>
          <w:ilvl w:val="0"/>
          <w:numId w:val="1002"/>
        </w:numPr>
      </w:pPr>
      <w:r>
        <w:t xml:space="preserve">Launch of thematic working groups to consolidate best practices on risk management, critical-infrastructure protection, and regulatory alignment in cybersecurity and secure connectivity.</w:t>
      </w:r>
    </w:p>
    <w:p>
      <w:pPr>
        <w:pStyle w:val="Compact"/>
        <w:numPr>
          <w:ilvl w:val="0"/>
          <w:numId w:val="1002"/>
        </w:numPr>
      </w:pPr>
      <w:r>
        <w:t xml:space="preserve">Recognition and utilization of RedCLARA and BELLA II as strategic enablers for resilient inter-regional research networks between EU and LAC regions.</w:t>
      </w:r>
    </w:p>
    <w:p>
      <w:pPr>
        <w:pStyle w:val="Compact"/>
        <w:numPr>
          <w:ilvl w:val="0"/>
          <w:numId w:val="1002"/>
        </w:numPr>
      </w:pPr>
      <w:r>
        <w:t xml:space="preserve">Development and forthcoming finalization (Q2 2025) of an investment and capacity-building roadmap on cybersecurity and secure connectivity, including concrete milestones for investment mobilization and skills programs.</w:t>
      </w:r>
    </w:p>
    <w:p>
      <w:pPr>
        <w:pStyle w:val="Compact"/>
        <w:numPr>
          <w:ilvl w:val="0"/>
          <w:numId w:val="1002"/>
        </w:numPr>
      </w:pPr>
      <w:r>
        <w:t xml:space="preserve">Capacity-building initiatives through communities of practice such as LAC4 and EU CyberNet to strengthen cyber-resilience ecosystems.</w:t>
      </w:r>
    </w:p>
    <w:p>
      <w:pPr>
        <w:pStyle w:val="Compact"/>
        <w:numPr>
          <w:ilvl w:val="0"/>
          <w:numId w:val="1002"/>
        </w:numPr>
      </w:pPr>
      <w:r>
        <w:t xml:space="preserve">Engagement of multilateral banks (e.g., IDB) and development agencies (AECID, AFD) to support investment opportunities in digital infrastructure in LAC.</w:t>
      </w:r>
    </w:p>
    <w:p>
      <w:pPr>
        <w:pStyle w:val="Compact"/>
        <w:numPr>
          <w:ilvl w:val="0"/>
          <w:numId w:val="1002"/>
        </w:numPr>
      </w:pPr>
      <w:r>
        <w:t xml:space="preserve">Integration of secure connectivity standards and risk-mitigation approaches, including experiences from the 5G Toolbox, into policy and regulatory frameworks.</w:t>
      </w:r>
    </w:p>
    <w:p>
      <w:pPr>
        <w:pStyle w:val="Compact"/>
        <w:numPr>
          <w:ilvl w:val="0"/>
          <w:numId w:val="1002"/>
        </w:numPr>
      </w:pPr>
      <w:r>
        <w:t xml:space="preserve">Reporting progress and informing policy dialogues at the EU-LAC Connectivity Dialogue (Chile, Nov 2024) and the EU-CELAC Summit 2025 to ensure alignment and implementation of cybersecurity and connectivity initiatives.</w:t>
      </w:r>
    </w:p>
    <w:bookmarkEnd w:id="24"/>
    <w:bookmarkStart w:id="25" w:name="commitments"/>
    <w:p>
      <w:pPr>
        <w:pStyle w:val="Heading2"/>
      </w:pPr>
      <w:r>
        <w:t xml:space="preserve">Commitments</w:t>
      </w:r>
    </w:p>
    <w:p>
      <w:pPr>
        <w:pStyle w:val="Compact"/>
        <w:numPr>
          <w:ilvl w:val="0"/>
          <w:numId w:val="1003"/>
        </w:numPr>
      </w:pPr>
      <w:r>
        <w:t xml:space="preserve">Draft an investment and capacity-building roadmap on cybersecurity and secure connectivity ahead of the EU-CELAC Summit 2025.</w:t>
      </w:r>
    </w:p>
    <w:p>
      <w:pPr>
        <w:pStyle w:val="Compact"/>
        <w:numPr>
          <w:ilvl w:val="0"/>
          <w:numId w:val="1003"/>
        </w:numPr>
      </w:pPr>
      <w:r>
        <w:t xml:space="preserve">Finalise the roadmap by Q2 2025 with concrete milestones for investment mobilisation and skills programmes.</w:t>
      </w:r>
    </w:p>
    <w:p>
      <w:pPr>
        <w:pStyle w:val="Compact"/>
        <w:numPr>
          <w:ilvl w:val="0"/>
          <w:numId w:val="1003"/>
        </w:numPr>
      </w:pPr>
      <w:r>
        <w:t xml:space="preserve">Report progress to ministers at the EU-LAC Connectivity Dialogue in Chile in November 2024 and at the EU-CELAC Summit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2025-06-19T16:34:24Z</dcterms:created>
  <dcterms:modified xsi:type="dcterms:W3CDTF">2025-06-19T16:34:24Z</dcterms:modified>
</cp:coreProperties>
</file>

<file path=docProps/custom.xml><?xml version="1.0" encoding="utf-8"?>
<Properties xmlns="http://schemas.openxmlformats.org/officeDocument/2006/custom-properties" xmlns:vt="http://schemas.openxmlformats.org/officeDocument/2006/docPropsVTypes"/>
</file>