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e02362f226bfa7c60e1324f603d14470bb7f456"/>
    <w:p>
      <w:pPr>
        <w:pStyle w:val="Heading1"/>
      </w:pPr>
      <w:r>
        <w:t xml:space="preserve">Regional Agreement on Access to Information, Public Participation and Justice in Environmental Matters in Latin America and the Caribbean (Escazú Agreement)</w:t>
      </w:r>
    </w:p>
    <w:p>
      <w:pPr>
        <w:pStyle w:val="FirstParagraph"/>
      </w:pPr>
      <w:r>
        <w:rPr>
          <w:b/>
          <w:bCs/>
        </w:rPr>
        <w:t xml:space="preserve">Date</w:t>
      </w:r>
      <w:r>
        <w:t xml:space="preserve">: 2018-03-04</w:t>
      </w:r>
    </w:p>
    <w:p>
      <w:pPr>
        <w:pStyle w:val="BodyText"/>
      </w:pPr>
      <w:r>
        <w:rPr>
          <w:b/>
          <w:bCs/>
        </w:rPr>
        <w:t xml:space="preserve">Location</w:t>
      </w:r>
      <w:r>
        <w:t xml:space="preserve">: Escazú, Costa Rica</w:t>
      </w:r>
    </w:p>
    <w:bookmarkStart w:id="20" w:name="executive-summary"/>
    <w:p>
      <w:pPr>
        <w:pStyle w:val="Heading2"/>
      </w:pPr>
      <w:r>
        <w:t xml:space="preserve">Executive Summary</w:t>
      </w:r>
    </w:p>
    <w:p>
      <w:pPr>
        <w:pStyle w:val="FirstParagraph"/>
      </w:pPr>
      <w:r>
        <w:t xml:space="preserve">The Regional Agreement on Access to Information, Public Participation and Justice in Environmental Matters in Latin America and the Caribbean, adopted in Escazú, Costa Rica, in 2018 and effective since 2021, is the first legally binding environmental treaty in the region. It guarantees rights to environmental information, public participation in environmental decision-making, and access to justice, emphasizing transparency, equality, and protection of vulnerable groups. The treaty uniquely includes provisions safeguarding human rights defenders in environmental matters. It promotes regional cooperation, capacity-building, and the use of new technologies to enhance environmental governance. The Agreement aligns with global sustainable development goals, aiming to combat inequality and foster sustainable development by integrating environmental protection with economic and social progress. The Economic Commission for Latin America and the Caribbean (ECLAC) serves as the Secretariat, supporting implementation and cooperation among the 33 member countries. This landmark treaty strengthens environmental democracy and accountability, setting a regional standard for sustainable development and human rights protection.</w:t>
      </w:r>
    </w:p>
    <w:bookmarkEnd w:id="20"/>
    <w:bookmarkStart w:id="21" w:name="characteristics"/>
    <w:p>
      <w:pPr>
        <w:pStyle w:val="Heading2"/>
      </w:pPr>
      <w:r>
        <w:t xml:space="preserve">Characteristics</w:t>
      </w:r>
    </w:p>
    <w:p>
      <w:pPr>
        <w:pStyle w:val="Compact"/>
        <w:numPr>
          <w:ilvl w:val="0"/>
          <w:numId w:val="1001"/>
        </w:numPr>
      </w:pPr>
      <w:r>
        <w:t xml:space="preserve">The Escazú Agreement is a legally binding regional treaty for Latin America and the Caribbean, adopted in 2018 and effective from 2021, focusing on access to environmental information, public participation, and justice in environmental matters.</w:t>
      </w:r>
    </w:p>
    <w:p>
      <w:pPr>
        <w:pStyle w:val="Compact"/>
        <w:numPr>
          <w:ilvl w:val="0"/>
          <w:numId w:val="1001"/>
        </w:numPr>
      </w:pPr>
      <w:r>
        <w:t xml:space="preserve">It emphasizes human rights, particularly for vulnerable groups and environmental human rights defenders, ensuring their protection and enabling their participation in environmental decision-making.</w:t>
      </w:r>
    </w:p>
    <w:p>
      <w:pPr>
        <w:pStyle w:val="Compact"/>
        <w:numPr>
          <w:ilvl w:val="0"/>
          <w:numId w:val="1001"/>
        </w:numPr>
      </w:pPr>
      <w:r>
        <w:t xml:space="preserve">The Agreement establishes principles such as equality, transparency, non-discrimination, precaution, and intergenerational equity, promoting sustainable development and environmental democracy.</w:t>
      </w:r>
    </w:p>
    <w:p>
      <w:pPr>
        <w:pStyle w:val="Compact"/>
        <w:numPr>
          <w:ilvl w:val="0"/>
          <w:numId w:val="1001"/>
        </w:numPr>
      </w:pPr>
      <w:r>
        <w:t xml:space="preserve">It mandates States to provide timely access to environmental information, facilitate public participation from early stages, and guarantee access to justice with effective legal mechanisms.</w:t>
      </w:r>
    </w:p>
    <w:p>
      <w:pPr>
        <w:pStyle w:val="Compact"/>
        <w:numPr>
          <w:ilvl w:val="0"/>
          <w:numId w:val="1001"/>
        </w:numPr>
      </w:pPr>
      <w:r>
        <w:t xml:space="preserve">The treaty includes provisions for capacity-building, regional cooperation, a clearing house for information, and a Conference of the Parties to oversee implementation and compliance.</w:t>
      </w:r>
    </w:p>
    <w:p>
      <w:pPr>
        <w:pStyle w:val="Compact"/>
        <w:numPr>
          <w:ilvl w:val="0"/>
          <w:numId w:val="1001"/>
        </w:numPr>
      </w:pPr>
      <w:r>
        <w:t xml:space="preserve">It is the first regional environmental agreement to include binding provisions on the protection of environmental human rights defenders and aims to combat inequality and promote sustainable development in the region.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United Nations; United Nations Officials; Community of Latin American and Caribbean States; Governments; Government Officials; Policy Level Representatives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Data &amp; Governance</w:t>
            </w:r>
          </w:p>
        </w:tc>
        <w:tc>
          <w:tcPr/>
          <w:p>
            <w:pPr>
              <w:pStyle w:val="Compact"/>
            </w:pPr>
            <w:r>
              <w:t xml:space="preserve">Digital Governance</w:t>
            </w:r>
          </w:p>
        </w:tc>
      </w:tr>
      <w:tr>
        <w:tc>
          <w:tcPr/>
          <w:p>
            <w:pPr>
              <w:pStyle w:val="Compact"/>
            </w:pPr>
            <w:r>
              <w:t xml:space="preserve">Regional &amp; International Cooperation</w:t>
            </w:r>
          </w:p>
        </w:tc>
        <w:tc>
          <w:tcPr/>
          <w:p>
            <w:pPr>
              <w:pStyle w:val="Compact"/>
            </w:pPr>
            <w:r>
              <w:t xml:space="preserve">Multilateralism</w:t>
            </w:r>
          </w:p>
        </w:tc>
      </w:tr>
    </w:tbl>
    <w:bookmarkEnd w:id="23"/>
    <w:bookmarkStart w:id="24" w:name="practical-applications"/>
    <w:p>
      <w:pPr>
        <w:pStyle w:val="Heading2"/>
      </w:pPr>
      <w:r>
        <w:t xml:space="preserve">Practical Applications</w:t>
      </w:r>
    </w:p>
    <w:p>
      <w:pPr>
        <w:pStyle w:val="Compact"/>
        <w:numPr>
          <w:ilvl w:val="0"/>
          <w:numId w:val="1002"/>
        </w:numPr>
      </w:pPr>
      <w:r>
        <w:t xml:space="preserve">Establishment of a Voluntary Fund to support financing for the implementation of the Escazú Agreement, with contributions from Parties and other sources as defined by the Conference of the Parties.</w:t>
      </w:r>
    </w:p>
    <w:p>
      <w:pPr>
        <w:pStyle w:val="Compact"/>
        <w:numPr>
          <w:ilvl w:val="0"/>
          <w:numId w:val="1002"/>
        </w:numPr>
      </w:pPr>
      <w:r>
        <w:t xml:space="preserve">Creation of a Conference of the Parties (COP) to oversee the implementation and effectiveness of the Agreement, including regular and extraordinary meetings, adoption of rules of procedure, financial provisions, and subsidiary bodies.</w:t>
      </w:r>
    </w:p>
    <w:p>
      <w:pPr>
        <w:pStyle w:val="Compact"/>
        <w:numPr>
          <w:ilvl w:val="0"/>
          <w:numId w:val="1002"/>
        </w:numPr>
      </w:pPr>
      <w:r>
        <w:t xml:space="preserve">Designation of the Executive Secretary of the Economic Commission for Latin America and the Caribbean (ECLAC) as the Secretariat to organize COP meetings, provide capacity-building assistance, and manage administrative arrangements.</w:t>
      </w:r>
    </w:p>
    <w:p>
      <w:pPr>
        <w:pStyle w:val="Compact"/>
        <w:numPr>
          <w:ilvl w:val="0"/>
          <w:numId w:val="1002"/>
        </w:numPr>
      </w:pPr>
      <w:r>
        <w:t xml:space="preserve">Establishment of a Committee to Support Implementation and Compliance as a subsidiary body of the COP to promote implementation, review compliance, and formulate recommendations with public participation.</w:t>
      </w:r>
    </w:p>
    <w:p>
      <w:pPr>
        <w:pStyle w:val="Compact"/>
        <w:numPr>
          <w:ilvl w:val="0"/>
          <w:numId w:val="1002"/>
        </w:numPr>
      </w:pPr>
      <w:r>
        <w:t xml:space="preserve">Development and maintenance of a virtual and universally accessible clearing house on access rights operated by ECLAC as Secretariat, including legislative, administrative, policy measures, codes of conduct, and good practices.</w:t>
      </w:r>
    </w:p>
    <w:p>
      <w:pPr>
        <w:pStyle w:val="Compact"/>
        <w:numPr>
          <w:ilvl w:val="0"/>
          <w:numId w:val="1002"/>
        </w:numPr>
      </w:pPr>
      <w:r>
        <w:t xml:space="preserve">Implementation of national measures by Parties, including legislative, regulatory, and administrative actions, to guarantee the rights of access to environmental information, public participation, and access to justice.</w:t>
      </w:r>
    </w:p>
    <w:p>
      <w:pPr>
        <w:pStyle w:val="Compact"/>
        <w:numPr>
          <w:ilvl w:val="0"/>
          <w:numId w:val="1002"/>
        </w:numPr>
      </w:pPr>
      <w:r>
        <w:t xml:space="preserve">Provision of guidance and assistance to the public, especially persons or groups in vulnerable situations, to facilitate the exercise of access rights.</w:t>
      </w:r>
    </w:p>
    <w:p>
      <w:pPr>
        <w:pStyle w:val="Compact"/>
        <w:numPr>
          <w:ilvl w:val="0"/>
          <w:numId w:val="1002"/>
        </w:numPr>
      </w:pPr>
      <w:r>
        <w:t xml:space="preserve">Guarantee of an enabling environment for persons, groups, and organizations promoting environmental protection, including recognition and protection of human rights defenders in environmental matters.</w:t>
      </w:r>
    </w:p>
    <w:p>
      <w:pPr>
        <w:pStyle w:val="Compact"/>
        <w:numPr>
          <w:ilvl w:val="0"/>
          <w:numId w:val="1002"/>
        </w:numPr>
      </w:pPr>
      <w:r>
        <w:t xml:space="preserve">Establishment or designation of impartial, autonomous entities or institutions to promote transparency, oversee compliance, and monitor the right of access to environmental information, with possible sanctioning powers.</w:t>
      </w:r>
    </w:p>
    <w:p>
      <w:pPr>
        <w:pStyle w:val="Compact"/>
        <w:numPr>
          <w:ilvl w:val="0"/>
          <w:numId w:val="1002"/>
        </w:numPr>
      </w:pPr>
      <w:r>
        <w:t xml:space="preserve">Development of environmental information systems by Parties, including public access to environmental laws, reports, pollutant registers, impact assessments, and other relevant data, updated regularly and accessible through information technology.</w:t>
      </w:r>
    </w:p>
    <w:p>
      <w:pPr>
        <w:pStyle w:val="Compact"/>
        <w:numPr>
          <w:ilvl w:val="0"/>
          <w:numId w:val="1002"/>
        </w:numPr>
      </w:pPr>
      <w:r>
        <w:t xml:space="preserve">Creation and implementation of early warning systems for imminent threats to public health or the environment, with immediate disclosure of pertinent information.</w:t>
      </w:r>
    </w:p>
    <w:p>
      <w:pPr>
        <w:pStyle w:val="Compact"/>
        <w:numPr>
          <w:ilvl w:val="0"/>
          <w:numId w:val="1002"/>
        </w:numPr>
      </w:pPr>
      <w:r>
        <w:t xml:space="preserve">Adoption of mechanisms for public participation in environmental decision-making processes, including early-stage participation, timely and clear information dissemination, and consideration of public observations.</w:t>
      </w:r>
    </w:p>
    <w:p>
      <w:pPr>
        <w:pStyle w:val="Compact"/>
        <w:numPr>
          <w:ilvl w:val="0"/>
          <w:numId w:val="1002"/>
        </w:numPr>
      </w:pPr>
      <w:r>
        <w:t xml:space="preserve">Guarantee of access to judicial and administrative mechanisms to challenge decisions or actions related to environmental information, participation, and environmental harm, including provisions for precautionary measures, evidence facilitation, and redress.</w:t>
      </w:r>
    </w:p>
    <w:p>
      <w:pPr>
        <w:pStyle w:val="Compact"/>
        <w:numPr>
          <w:ilvl w:val="0"/>
          <w:numId w:val="1002"/>
        </w:numPr>
      </w:pPr>
      <w:r>
        <w:t xml:space="preserve">Promotion of capacity-building measures such as training authorities and civil servants, awareness programs for the public and officials, education modules on access rights, and support for vulnerable groups.</w:t>
      </w:r>
    </w:p>
    <w:p>
      <w:pPr>
        <w:pStyle w:val="Compact"/>
        <w:numPr>
          <w:ilvl w:val="0"/>
          <w:numId w:val="1002"/>
        </w:numPr>
      </w:pPr>
      <w:r>
        <w:t xml:space="preserve">Encouragement of regional cooperation and South-South cooperation through workshops, expert exchanges, technical assistance, educational programs, and sharing of good practices.</w:t>
      </w:r>
    </w:p>
    <w:p>
      <w:pPr>
        <w:pStyle w:val="Compact"/>
        <w:numPr>
          <w:ilvl w:val="0"/>
          <w:numId w:val="1002"/>
        </w:numPr>
      </w:pPr>
      <w:r>
        <w:t xml:space="preserve">Encouragement of partnerships with other States, intergovernmental, non-governmental, academic, private organizations, and civil society to implement the Agreement.</w:t>
      </w:r>
    </w:p>
    <w:p>
      <w:pPr>
        <w:pStyle w:val="Compact"/>
        <w:numPr>
          <w:ilvl w:val="0"/>
          <w:numId w:val="1002"/>
        </w:numPr>
      </w:pPr>
      <w:r>
        <w:t xml:space="preserve">Promotion of alternative dispute resolution mechanisms in environmental matters, such as mediation and conciliation.</w:t>
      </w:r>
    </w:p>
    <w:p>
      <w:pPr>
        <w:pStyle w:val="Compact"/>
        <w:numPr>
          <w:ilvl w:val="0"/>
          <w:numId w:val="1002"/>
        </w:numPr>
      </w:pPr>
      <w:r>
        <w:t xml:space="preserve">Parties commit to provide resources for national activities needed to fulfill obligations under the Agreement according to their abilities and priorities.</w:t>
      </w:r>
    </w:p>
    <w:bookmarkEnd w:id="24"/>
    <w:bookmarkStart w:id="25" w:name="commitments"/>
    <w:p>
      <w:pPr>
        <w:pStyle w:val="Heading2"/>
      </w:pPr>
      <w:r>
        <w:t xml:space="preserve">Commitments</w:t>
      </w:r>
    </w:p>
    <w:p>
      <w:pPr>
        <w:pStyle w:val="Compact"/>
        <w:numPr>
          <w:ilvl w:val="0"/>
          <w:numId w:val="1003"/>
        </w:numPr>
      </w:pPr>
      <w:r>
        <w:t xml:space="preserve">The Executive Secretary of the Economic Commission for Latin America and the Caribbean shall convene the first meeting of the Conference of the Parties no later than one year after the entry into force of the Agreement.</w:t>
      </w:r>
    </w:p>
    <w:p>
      <w:pPr>
        <w:pStyle w:val="Compact"/>
        <w:numPr>
          <w:ilvl w:val="0"/>
          <w:numId w:val="1003"/>
        </w:numPr>
      </w:pPr>
      <w:r>
        <w:t xml:space="preserve">The Agreement shall enter into force on the ninetieth day after the date of deposit of the eleventh instrument of ratification, acceptance, approval, or accession.</w:t>
      </w:r>
    </w:p>
    <w:p>
      <w:pPr>
        <w:pStyle w:val="Compact"/>
        <w:numPr>
          <w:ilvl w:val="0"/>
          <w:numId w:val="1003"/>
        </w:numPr>
      </w:pPr>
      <w:r>
        <w:t xml:space="preserve">For each State that ratifies, accepts, approves, or accedes after the eleventh instrument, the Agreement shall enter into effect on the ninetieth day after the date of deposit of its instrument.</w:t>
      </w:r>
    </w:p>
    <w:p>
      <w:pPr>
        <w:pStyle w:val="Compact"/>
        <w:numPr>
          <w:ilvl w:val="0"/>
          <w:numId w:val="1003"/>
        </w:numPr>
      </w:pPr>
      <w:r>
        <w:t xml:space="preserve">The Agreement shall be open for signature from 27 September 2018 to 26 September 2020.</w:t>
      </w:r>
    </w:p>
    <w:p>
      <w:pPr>
        <w:pStyle w:val="Compact"/>
        <w:numPr>
          <w:ilvl w:val="0"/>
          <w:numId w:val="1003"/>
        </w:numPr>
      </w:pPr>
      <w:r>
        <w:t xml:space="preserve">Each Party shall respond to requests for environmental information within a period not longer than 30 business days from receipt of the request, with a possible extension of up to 10 business days in exceptional circumstances.</w:t>
      </w:r>
    </w:p>
    <w:p>
      <w:pPr>
        <w:pStyle w:val="Compact"/>
        <w:numPr>
          <w:ilvl w:val="0"/>
          <w:numId w:val="1003"/>
        </w:numPr>
      </w:pPr>
      <w:r>
        <w:t xml:space="preserve">Each Party shall publish and disseminate a national report on the state of the environment at regular intervals not exceeding five years.</w:t>
      </w:r>
    </w:p>
    <w:p>
      <w:pPr>
        <w:pStyle w:val="Compact"/>
        <w:numPr>
          <w:ilvl w:val="0"/>
          <w:numId w:val="1003"/>
        </w:numPr>
      </w:pPr>
      <w:r>
        <w:t xml:space="preserve">After three years from the date the Agreement has entered into force for a Party, that Party may withdraw by giving written notification, with withdrawal taking effect one year after receipt of notification.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2025-06-19T17:02:58Z</dcterms:created>
  <dcterms:modified xsi:type="dcterms:W3CDTF">2025-06-19T17:02:58Z</dcterms:modified>
</cp:coreProperties>
</file>

<file path=docProps/custom.xml><?xml version="1.0" encoding="utf-8"?>
<Properties xmlns="http://schemas.openxmlformats.org/officeDocument/2006/custom-properties" xmlns:vt="http://schemas.openxmlformats.org/officeDocument/2006/docPropsVTypes"/>
</file>