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X23446af77ee20faeb3552596a09bb08b4a0178a"/>
    <w:p>
      <w:pPr>
        <w:pStyle w:val="Heading1"/>
      </w:pPr>
      <w:r>
        <w:t xml:space="preserve">Political Declaration on the 30th Anniversary of the Fourth World Conference on Women: Accelerating Gender Equality and Empowerment of Women and Girls</w:t>
      </w:r>
    </w:p>
    <w:p>
      <w:pPr>
        <w:pStyle w:val="FirstParagraph"/>
      </w:pPr>
      <w:r>
        <w:rPr>
          <w:b/>
          <w:bCs/>
        </w:rPr>
        <w:t xml:space="preserve">Date</w:t>
      </w:r>
      <w:r>
        <w:t xml:space="preserve">: 2025-03-06</w:t>
      </w:r>
    </w:p>
    <w:p>
      <w:pPr>
        <w:pStyle w:val="BodyText"/>
      </w:pPr>
      <w:r>
        <w:rPr>
          <w:b/>
          <w:bCs/>
        </w:rPr>
        <w:t xml:space="preserve">Location</w:t>
      </w:r>
      <w:r>
        <w:t xml:space="preserve">: New York, United States</w:t>
      </w:r>
    </w:p>
    <w:bookmarkStart w:id="20" w:name="executive-summary"/>
    <w:p>
      <w:pPr>
        <w:pStyle w:val="Heading2"/>
      </w:pPr>
      <w:r>
        <w:t xml:space="preserve">Executive Summary</w:t>
      </w:r>
    </w:p>
    <w:p>
      <w:pPr>
        <w:pStyle w:val="FirstParagraph"/>
      </w:pPr>
      <w:r>
        <w:t xml:space="preserve">The 69th session of the UN Commission on the Status of Women marked the 30th anniversary of the Fourth World Conference on Women (Beijing, 1995). The session reaffirmed commitment to fully implement the Beijing Declaration and Platform for Action and related UN frameworks to achieve gender equality and empower all women and girls. It recognized persistent global challenges including structural barriers, discrimination, violence, poverty, and underrepresentation in decision-making. The declaration emphasized the importance of inclusive policies addressing economic empowerment, unpaid care work, digital access, education, health, violence prevention, and environmental issues. It called for sustainable funding, strengthened national mechanisms, enhanced data collection, and active engagement of men, boys, youth, and civil society. The session highlighted UN Women’s role and urged continued UN system support, gender mainstreaming, and accountability. It also encouraged nominating women for high-level UN positions and stressed the need for an inclusive, transparent approach to accelerate progress toward gender equality and the full enjoyment of women’s human rights globally.</w:t>
      </w:r>
    </w:p>
    <w:bookmarkEnd w:id="20"/>
    <w:bookmarkStart w:id="21" w:name="characteristics"/>
    <w:p>
      <w:pPr>
        <w:pStyle w:val="Heading2"/>
      </w:pPr>
      <w:r>
        <w:t xml:space="preserve">Characteristics</w:t>
      </w:r>
    </w:p>
    <w:p>
      <w:pPr>
        <w:pStyle w:val="Compact"/>
        <w:numPr>
          <w:ilvl w:val="0"/>
          <w:numId w:val="1001"/>
        </w:numPr>
      </w:pPr>
      <w:r>
        <w:t xml:space="preserve">The 69th session of the Commission on the Status of Women (March 2025) marked the 30th anniversary of the Fourth World Conference on Women (Beijing, 1995), focusing on reviewing and accelerating the implementation of the Beijing Declaration and Platform for Action.</w:t>
      </w:r>
    </w:p>
    <w:p>
      <w:pPr>
        <w:pStyle w:val="Compact"/>
        <w:numPr>
          <w:ilvl w:val="0"/>
          <w:numId w:val="1001"/>
        </w:numPr>
      </w:pPr>
      <w:r>
        <w:t xml:space="preserve">The session reaffirmed commitments to gender equality, women’s empowerment, and the full enjoyment of human rights, emphasizing the need for accelerated action and addressing persistent structural barriers, discrimination, and violence.</w:t>
      </w:r>
    </w:p>
    <w:p>
      <w:pPr>
        <w:pStyle w:val="Compact"/>
        <w:numPr>
          <w:ilvl w:val="0"/>
          <w:numId w:val="1001"/>
        </w:numPr>
      </w:pPr>
      <w:r>
        <w:t xml:space="preserve">It highlighted the importance of comprehensive approaches including economic empowerment, education, health, violence prevention, digital inclusion, and environmental policies, with a focus on marginalized groups and intersectional discrimination.</w:t>
      </w:r>
    </w:p>
    <w:p>
      <w:pPr>
        <w:pStyle w:val="Compact"/>
        <w:numPr>
          <w:ilvl w:val="0"/>
          <w:numId w:val="1001"/>
        </w:numPr>
      </w:pPr>
      <w:r>
        <w:t xml:space="preserve">The declaration called for sustainable funding, gender-responsive budgeting, enhanced data collection, and strengthened national and international mechanisms, including the role of UN Women and civil society partnerships.</w:t>
      </w:r>
    </w:p>
    <w:p>
      <w:pPr>
        <w:pStyle w:val="Compact"/>
        <w:numPr>
          <w:ilvl w:val="0"/>
          <w:numId w:val="1001"/>
        </w:numPr>
      </w:pPr>
      <w:r>
        <w:t xml:space="preserve">The session emphasized the engagement of men and boys as allies, the leadership of young women, and the need for inclusive participation in decision-making and peace processes.</w:t>
      </w:r>
    </w:p>
    <w:p>
      <w:pPr>
        <w:pStyle w:val="Compact"/>
        <w:numPr>
          <w:ilvl w:val="0"/>
          <w:numId w:val="1001"/>
        </w:numPr>
      </w:pPr>
      <w:r>
        <w:t xml:space="preserve">It recognized ongoing challenges such as poverty, inequality, and slow progress, urging renewed political will and coordinated global efforts to achieve the Sustainable Development Goals related to gender equality.</w:t>
      </w:r>
    </w:p>
    <w:bookmarkEnd w:id="21"/>
    <w:bookmarkStart w:id="22" w:name="actors"/>
    <w:p>
      <w:pPr>
        <w:pStyle w:val="Heading2"/>
      </w:pPr>
      <w:r>
        <w:t xml:space="preserve">Actors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Category</w:t>
            </w:r>
          </w:p>
        </w:tc>
        <w:tc>
          <w:tcPr/>
          <w:p>
            <w:pPr>
              <w:pStyle w:val="Compact"/>
            </w:pPr>
            <w:r>
              <w:t xml:space="preserve">Actor</w:t>
            </w:r>
          </w:p>
        </w:tc>
      </w:tr>
      <w:tr>
        <w:tc>
          <w:tcPr/>
          <w:p>
            <w:pPr>
              <w:pStyle w:val="Compact"/>
            </w:pPr>
            <w:r>
              <w:t xml:space="preserve">Political Actors</w:t>
            </w:r>
          </w:p>
        </w:tc>
        <w:tc>
          <w:tcPr/>
          <w:p>
            <w:pPr>
              <w:pStyle w:val="Compact"/>
            </w:pPr>
            <w:r>
              <w:t xml:space="preserve">United Nations; Governments; Commission on the Status of Women; Member States; General Assembly; United Nations Officials</w:t>
            </w:r>
          </w:p>
        </w:tc>
      </w:tr>
      <w:tr>
        <w:tc>
          <w:tcPr/>
          <w:p>
            <w:pPr>
              <w:pStyle w:val="Compact"/>
            </w:pPr>
            <w:r>
              <w:t xml:space="preserve">Civil Society Actors</w:t>
            </w:r>
          </w:p>
        </w:tc>
        <w:tc>
          <w:tcPr/>
          <w:p>
            <w:pPr>
              <w:pStyle w:val="Compact"/>
            </w:pPr>
            <w:r>
              <w:t xml:space="preserve">Civil Society Organisations; Non-governmental Institutions; National human rights institutions; Women’s and community-based organizations; Youth-led organizations; Women journalists and media professionals; Trade unions; Grass-roots and community-based organizations; Indigenous groups; Feminist groups; Women of African descent</w:t>
            </w:r>
          </w:p>
        </w:tc>
      </w:tr>
    </w:tbl>
    <w:bookmarkEnd w:id="22"/>
    <w:bookmarkStart w:id="23" w:name="main-themes"/>
    <w:p>
      <w:pPr>
        <w:pStyle w:val="Heading2"/>
      </w:pPr>
      <w:r>
        <w:t xml:space="preserve">Main Themes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Category</w:t>
            </w:r>
          </w:p>
        </w:tc>
        <w:tc>
          <w:tcPr/>
          <w:p>
            <w:pPr>
              <w:pStyle w:val="Compact"/>
            </w:pPr>
            <w:r>
              <w:t xml:space="preserve">Subcategory</w:t>
            </w:r>
          </w:p>
        </w:tc>
      </w:tr>
      <w:tr>
        <w:tc>
          <w:tcPr/>
          <w:p>
            <w:pPr>
              <w:pStyle w:val="Compact"/>
            </w:pPr>
            <w:r>
              <w:t xml:space="preserve">Inclusion &amp; Social Development</w:t>
            </w:r>
          </w:p>
        </w:tc>
        <w:tc>
          <w:tcPr/>
          <w:p>
            <w:pPr>
              <w:pStyle w:val="Compact"/>
            </w:pPr>
            <w:r>
              <w:t xml:space="preserve">Gender Equality in Tech; Digital Education</w:t>
            </w:r>
          </w:p>
        </w:tc>
      </w:tr>
    </w:tbl>
    <w:bookmarkEnd w:id="23"/>
    <w:bookmarkStart w:id="24" w:name="practical-applications"/>
    <w:p>
      <w:pPr>
        <w:pStyle w:val="Heading2"/>
      </w:pPr>
      <w:r>
        <w:t xml:space="preserve">Practical Applications</w:t>
      </w:r>
    </w:p>
    <w:p>
      <w:pPr>
        <w:pStyle w:val="Compact"/>
        <w:numPr>
          <w:ilvl w:val="0"/>
          <w:numId w:val="1002"/>
        </w:numPr>
      </w:pPr>
      <w:r>
        <w:t xml:space="preserve">Convening regional reviews by United Nations regional commissions on the implementation of the Beijing Declaration and Platform for Action, involving civil society and national human rights institutions.</w:t>
      </w:r>
    </w:p>
    <w:p>
      <w:pPr>
        <w:pStyle w:val="Compact"/>
        <w:numPr>
          <w:ilvl w:val="0"/>
          <w:numId w:val="1002"/>
        </w:numPr>
      </w:pPr>
      <w:r>
        <w:t xml:space="preserve">Mobilizing domestic and international resources through innovative, equitable, and effective mechanisms such as improving tax systems, increasing public investments, strengthening North-South, South-South, and triangular cooperation, and public-private partnerships.</w:t>
      </w:r>
    </w:p>
    <w:p>
      <w:pPr>
        <w:pStyle w:val="Compact"/>
        <w:numPr>
          <w:ilvl w:val="0"/>
          <w:numId w:val="1002"/>
        </w:numPr>
      </w:pPr>
      <w:r>
        <w:t xml:space="preserve">Promoting women’s economic empowerment by enhancing access to credit, entrepreneurship, capacity-building, financial inclusion, and financial literacy.</w:t>
      </w:r>
    </w:p>
    <w:p>
      <w:pPr>
        <w:pStyle w:val="Compact"/>
        <w:numPr>
          <w:ilvl w:val="0"/>
          <w:numId w:val="1002"/>
        </w:numPr>
      </w:pPr>
      <w:r>
        <w:t xml:space="preserve">Enforcing labor rights for women, including protection against discrimination, violence, and harassment at work, promoting equal pay, social security, and transition from informal to formal work.</w:t>
      </w:r>
    </w:p>
    <w:p>
      <w:pPr>
        <w:pStyle w:val="Compact"/>
        <w:numPr>
          <w:ilvl w:val="0"/>
          <w:numId w:val="1002"/>
        </w:numPr>
      </w:pPr>
      <w:r>
        <w:t xml:space="preserve">Prioritizing public investments to develop and expand integrated care systems, including care leave policies and universal care and support services.</w:t>
      </w:r>
    </w:p>
    <w:p>
      <w:pPr>
        <w:pStyle w:val="Compact"/>
        <w:numPr>
          <w:ilvl w:val="0"/>
          <w:numId w:val="1002"/>
        </w:numPr>
      </w:pPr>
      <w:r>
        <w:t xml:space="preserve">Expanding digital learning, literacy, and capacity-building opportunities for women and girls, mainstreaming gender perspectives in digital technology development and policy.</w:t>
      </w:r>
    </w:p>
    <w:p>
      <w:pPr>
        <w:pStyle w:val="Compact"/>
        <w:numPr>
          <w:ilvl w:val="0"/>
          <w:numId w:val="1002"/>
        </w:numPr>
      </w:pPr>
      <w:r>
        <w:t xml:space="preserve">Adopting and funding national action plans to prevent, eliminate, and respond to violence against women and girls, including multisectoral approaches to investigation, prosecution, and punishment.</w:t>
      </w:r>
    </w:p>
    <w:p>
      <w:pPr>
        <w:pStyle w:val="Compact"/>
        <w:numPr>
          <w:ilvl w:val="0"/>
          <w:numId w:val="1002"/>
        </w:numPr>
      </w:pPr>
      <w:r>
        <w:t xml:space="preserve">Ensuring victims and survivors of violence have access to quality social, healthcare, psychological, counseling, and legal services.</w:t>
      </w:r>
    </w:p>
    <w:p>
      <w:pPr>
        <w:pStyle w:val="Compact"/>
        <w:numPr>
          <w:ilvl w:val="0"/>
          <w:numId w:val="1002"/>
        </w:numPr>
      </w:pPr>
      <w:r>
        <w:t xml:space="preserve">Accelerating women’s full, equal, and meaningful participation in leadership and decision-making through temporary special measures and removing structural barriers.</w:t>
      </w:r>
    </w:p>
    <w:p>
      <w:pPr>
        <w:pStyle w:val="Compact"/>
        <w:numPr>
          <w:ilvl w:val="0"/>
          <w:numId w:val="1002"/>
        </w:numPr>
      </w:pPr>
      <w:r>
        <w:t xml:space="preserve">Ensuring effective and well-resourced national machineries to promote, coordinate, implement, and evaluate gender equality policies and programs.</w:t>
      </w:r>
    </w:p>
    <w:p>
      <w:pPr>
        <w:pStyle w:val="Compact"/>
        <w:numPr>
          <w:ilvl w:val="0"/>
          <w:numId w:val="1002"/>
        </w:numPr>
      </w:pPr>
      <w:r>
        <w:t xml:space="preserve">Implementing gender-responsive budgeting and tracking across all sectors.</w:t>
      </w:r>
    </w:p>
    <w:p>
      <w:pPr>
        <w:pStyle w:val="Compact"/>
        <w:numPr>
          <w:ilvl w:val="0"/>
          <w:numId w:val="1002"/>
        </w:numPr>
      </w:pPr>
      <w:r>
        <w:t xml:space="preserve">Promoting safe and enabling environments for civil society actors, including women’s, youth, grassroots, Indigenous, feminist, and minority groups, with access to flexible, sustainable, and long-term funding and capacity-building.</w:t>
      </w:r>
    </w:p>
    <w:p>
      <w:pPr>
        <w:pStyle w:val="Compact"/>
        <w:numPr>
          <w:ilvl w:val="0"/>
          <w:numId w:val="1002"/>
        </w:numPr>
      </w:pPr>
      <w:r>
        <w:t xml:space="preserve">Supporting women’s full participation and leadership in peace processes, conflict prevention, peacebuilding, and humanitarian action, including development and financing of national action plans.</w:t>
      </w:r>
    </w:p>
    <w:p>
      <w:pPr>
        <w:pStyle w:val="Compact"/>
        <w:numPr>
          <w:ilvl w:val="0"/>
          <w:numId w:val="1002"/>
        </w:numPr>
      </w:pPr>
      <w:r>
        <w:t xml:space="preserve">Mainstreaming gender perspectives into environmental, climate change, and disaster risk reduction policies, promoting women’s participation and leadership in these areas.</w:t>
      </w:r>
    </w:p>
    <w:p>
      <w:pPr>
        <w:pStyle w:val="Compact"/>
        <w:numPr>
          <w:ilvl w:val="0"/>
          <w:numId w:val="1002"/>
        </w:numPr>
      </w:pPr>
      <w:r>
        <w:t xml:space="preserve">Strengthening capacity and coordination of national statistics and data production offices with financial, technical, and human resources to improve gender statistics and data disaggregated by multiple characteristics.</w:t>
      </w:r>
    </w:p>
    <w:p>
      <w:pPr>
        <w:pStyle w:val="Compact"/>
        <w:numPr>
          <w:ilvl w:val="0"/>
          <w:numId w:val="1002"/>
        </w:numPr>
      </w:pPr>
      <w:r>
        <w:t xml:space="preserve">Supporting UN Women’s role in promoting gender equality and coordinating the UN system and stakeholders for implementation of the Beijing Declaration and Platform for Action.</w:t>
      </w:r>
    </w:p>
    <w:p>
      <w:pPr>
        <w:pStyle w:val="Compact"/>
        <w:numPr>
          <w:ilvl w:val="0"/>
          <w:numId w:val="1002"/>
        </w:numPr>
      </w:pPr>
      <w:r>
        <w:t xml:space="preserve">Encouraging nomination of women candidates for high-level UN positions such as Secretary-General and President of the General Assembly.</w:t>
      </w:r>
    </w:p>
    <w:p>
      <w:pPr>
        <w:pStyle w:val="Compact"/>
        <w:numPr>
          <w:ilvl w:val="0"/>
          <w:numId w:val="1002"/>
        </w:numPr>
      </w:pPr>
      <w:r>
        <w:t xml:space="preserve">Supporting civil society efforts with increased, flexible, and sustainable resources at all levels to advance gender equality and empowerment of women and girls.</w:t>
      </w:r>
    </w:p>
    <w:bookmarkEnd w:id="24"/>
    <w:bookmarkStart w:id="25" w:name="commitments"/>
    <w:p>
      <w:pPr>
        <w:pStyle w:val="Heading2"/>
      </w:pPr>
      <w:r>
        <w:t xml:space="preserve">Commitments</w:t>
      </w:r>
    </w:p>
    <w:p>
      <w:pPr>
        <w:pStyle w:val="Compact"/>
        <w:numPr>
          <w:ilvl w:val="0"/>
          <w:numId w:val="1003"/>
        </w:numPr>
      </w:pPr>
      <w:r>
        <w:t xml:space="preserve">[</w:t>
      </w:r>
    </w:p>
    <w:p>
      <w:pPr>
        <w:pStyle w:val="Compact"/>
        <w:numPr>
          <w:ilvl w:val="0"/>
          <w:numId w:val="1003"/>
        </w:numPr>
      </w:pPr>
      <w:r>
        <w:t xml:space="preserve">“Commit to the full, effective and accelerated implementation of the Beijing Declaration and Platform for Action and the outcome documents of the twenty-third special session of the General Assembly by 2025, the thirtieth anniversary of the Fourth World Conference on Women.”</w:t>
      </w:r>
      <w:r>
        <w:t xml:space="preserve">,</w:t>
      </w:r>
    </w:p>
    <w:p>
      <w:pPr>
        <w:pStyle w:val="Compact"/>
        <w:numPr>
          <w:ilvl w:val="0"/>
          <w:numId w:val="1003"/>
        </w:numPr>
      </w:pPr>
      <w:r>
        <w:t xml:space="preserve">“Call upon States that have not yet done so to consider ratifying or acceding to the Convention on the Elimination of All Forms of Discrimination against Women and the Optional Protocol thereto.”</w:t>
      </w:r>
      <w:r>
        <w:t xml:space="preserve">,</w:t>
      </w:r>
    </w:p>
    <w:p>
      <w:pPr>
        <w:pStyle w:val="Compact"/>
        <w:numPr>
          <w:ilvl w:val="0"/>
          <w:numId w:val="1003"/>
        </w:numPr>
      </w:pPr>
      <w:r>
        <w:t xml:space="preserve">“Mobilize adequate, predictable, sustainable and long-term funding, including transparent and impactful allocation of resources, to eliminate structural inequalities and empower all women and girls through innovative, equitable and effective mechanisms such as improving tax systems, increasing public investments, strengthening North-South, South-South and triangular cooperation, public-private partnerships, and meeting official development assistance commitments.”</w:t>
      </w:r>
      <w:r>
        <w:t xml:space="preserve">,</w:t>
      </w:r>
    </w:p>
    <w:p>
      <w:pPr>
        <w:pStyle w:val="Compact"/>
        <w:numPr>
          <w:ilvl w:val="0"/>
          <w:numId w:val="1003"/>
        </w:numPr>
      </w:pPr>
      <w:r>
        <w:t xml:space="preserve">“Take concrete actions to ensure women’s economic empowerment by promoting women’s access to credit and entrepreneurship, capacity-building, financial inclusion and literacy, equal pay for work of equal value, social security, transition from informal to formal work, and closing pay and pension inequality.”</w:t>
      </w:r>
      <w:r>
        <w:t xml:space="preserve">,</w:t>
      </w:r>
    </w:p>
    <w:p>
      <w:pPr>
        <w:pStyle w:val="Compact"/>
        <w:numPr>
          <w:ilvl w:val="0"/>
          <w:numId w:val="1003"/>
        </w:numPr>
      </w:pPr>
      <w:r>
        <w:t xml:space="preserve">“Promote equal sharing of unpaid care and domestic work between men and women by prioritizing public investments to develop and expand integrated care systems, including care leave policies and universal care and support services.”</w:t>
      </w:r>
      <w:r>
        <w:t xml:space="preserve">,</w:t>
      </w:r>
    </w:p>
    <w:p>
      <w:pPr>
        <w:pStyle w:val="Compact"/>
        <w:numPr>
          <w:ilvl w:val="0"/>
          <w:numId w:val="1003"/>
        </w:numPr>
      </w:pPr>
      <w:r>
        <w:t xml:space="preserve">“Harness technology and innovation to close digital divides, including the gender digital divide, by expanding digital learning, literacy and capacity-building opportunities, mainstreaming a gender perspective in digital technology development including artificial intelligence.”</w:t>
      </w:r>
      <w:r>
        <w:t xml:space="preserve">,</w:t>
      </w:r>
    </w:p>
    <w:p>
      <w:pPr>
        <w:pStyle w:val="Compact"/>
        <w:numPr>
          <w:ilvl w:val="0"/>
          <w:numId w:val="1003"/>
        </w:numPr>
      </w:pPr>
      <w:r>
        <w:t xml:space="preserve">“Take comprehensive and targeted measures to eradicate poverty in all its forms and dimensions for women and girls, including extreme poverty, feminization of poverty, multidimensional and intergenerational poverty, and structural inequalities in access to services, resources, and infrastructure.”</w:t>
      </w:r>
      <w:r>
        <w:t xml:space="preserve">,</w:t>
      </w:r>
    </w:p>
    <w:p>
      <w:pPr>
        <w:pStyle w:val="Compact"/>
        <w:numPr>
          <w:ilvl w:val="0"/>
          <w:numId w:val="1003"/>
        </w:numPr>
      </w:pPr>
      <w:r>
        <w:t xml:space="preserve">“Ensure all women throughout their life course enjoy equal access to gender-responsive comprehensive and universal social protection systems, including floors, public and financial services, productive resources, sustainable infrastructures, markets and networks, and affordable technologies.”</w:t>
      </w:r>
      <w:r>
        <w:t xml:space="preserve">,</w:t>
      </w:r>
    </w:p>
    <w:p>
      <w:pPr>
        <w:pStyle w:val="Compact"/>
        <w:numPr>
          <w:ilvl w:val="0"/>
          <w:numId w:val="1003"/>
        </w:numPr>
      </w:pPr>
      <w:r>
        <w:t xml:space="preserve">“Achieve universal health coverage for all women and girls, including safe, available, affordable, accessible, quality and inclusive healthcare services, maternal and neonatal health, menstrual health and hygiene management, and all communicable and noncommunicable diseases.”</w:t>
      </w:r>
      <w:r>
        <w:t xml:space="preserve">,</w:t>
      </w:r>
    </w:p>
    <w:p>
      <w:pPr>
        <w:pStyle w:val="Compact"/>
        <w:numPr>
          <w:ilvl w:val="0"/>
          <w:numId w:val="1003"/>
        </w:numPr>
      </w:pPr>
      <w:r>
        <w:t xml:space="preserve">“Ensure access to inclusive and equitable quality education and lifelong learning opportunities for all women and girls, including eliminating structural barriers, investing in public education systems and infrastructure, and providing training and skills development in STEM and ICT.”</w:t>
      </w:r>
      <w:r>
        <w:t xml:space="preserve">,</w:t>
      </w:r>
    </w:p>
    <w:p>
      <w:pPr>
        <w:pStyle w:val="Compact"/>
        <w:numPr>
          <w:ilvl w:val="0"/>
          <w:numId w:val="1003"/>
        </w:numPr>
      </w:pPr>
      <w:r>
        <w:t xml:space="preserve">“Adopt, fund and implement national action plans to prevent, eliminate and respond to violence against all women and girls in all forms, including multisectoral and coordinated approaches to investigate, prosecute and punish perpetrators and end impunity.”</w:t>
      </w:r>
      <w:r>
        <w:t xml:space="preserve">,</w:t>
      </w:r>
    </w:p>
    <w:p>
      <w:pPr>
        <w:pStyle w:val="Compact"/>
        <w:numPr>
          <w:ilvl w:val="0"/>
          <w:numId w:val="1003"/>
        </w:numPr>
      </w:pPr>
      <w:r>
        <w:t xml:space="preserve">“Adopt comprehensive approaches to eliminate violence amplified by technology, including combating harassment, racism, trafficking, and all forms of sexual exploitation and abuse of women and girls online.”</w:t>
      </w:r>
      <w:r>
        <w:t xml:space="preserve">,</w:t>
      </w:r>
    </w:p>
    <w:p>
      <w:pPr>
        <w:pStyle w:val="Compact"/>
        <w:numPr>
          <w:ilvl w:val="0"/>
          <w:numId w:val="1003"/>
        </w:numPr>
      </w:pPr>
      <w:r>
        <w:t xml:space="preserve">“Ensure victims and survivors of all forms of violence against women and girls have prompt and universal access to quality social and healthcare services, including psychological and counseling services, and access to justice including legal services.”</w:t>
      </w:r>
      <w:r>
        <w:t xml:space="preserve">,</w:t>
      </w:r>
    </w:p>
    <w:p>
      <w:pPr>
        <w:pStyle w:val="Compact"/>
        <w:numPr>
          <w:ilvl w:val="0"/>
          <w:numId w:val="1003"/>
        </w:numPr>
      </w:pPr>
      <w:r>
        <w:t xml:space="preserve">“Accelerate progress towards women’s full, equal and meaningful participation in leadership and decision-making across sectors and levels, including through temporary special measures and removing structural barriers.”</w:t>
      </w:r>
      <w:r>
        <w:t xml:space="preserve">,</w:t>
      </w:r>
    </w:p>
    <w:p>
      <w:pPr>
        <w:pStyle w:val="Compact"/>
        <w:numPr>
          <w:ilvl w:val="0"/>
          <w:numId w:val="1003"/>
        </w:numPr>
      </w:pPr>
      <w:r>
        <w:t xml:space="preserve">“Ensure effective and well-resourced national machineries to promote, coordinate, implement and evaluate policies and programmes to achieve gender equality and empowerment of all women and girls.”</w:t>
      </w:r>
      <w:r>
        <w:t xml:space="preserve">,</w:t>
      </w:r>
    </w:p>
    <w:p>
      <w:pPr>
        <w:pStyle w:val="Compact"/>
        <w:numPr>
          <w:ilvl w:val="0"/>
          <w:numId w:val="1003"/>
        </w:numPr>
      </w:pPr>
      <w:r>
        <w:t xml:space="preserve">“Adopt and implement comprehensive gender-responsive budgeting and tracking across all sectors.”</w:t>
      </w:r>
      <w:r>
        <w:t xml:space="preserve">,</w:t>
      </w:r>
    </w:p>
    <w:p>
      <w:pPr>
        <w:pStyle w:val="Compact"/>
        <w:numPr>
          <w:ilvl w:val="0"/>
          <w:numId w:val="1003"/>
        </w:numPr>
      </w:pPr>
      <w:r>
        <w:t xml:space="preserve">“Promote safe and enabling environments for civil society actors, especially women’s, young women’s, girls’, grassroots and community-based organizations, and provide access to flexible, sustainable and long-term funding and capacity-building.”</w:t>
      </w:r>
      <w:r>
        <w:t xml:space="preserve">,</w:t>
      </w:r>
    </w:p>
    <w:p>
      <w:pPr>
        <w:pStyle w:val="Compact"/>
        <w:numPr>
          <w:ilvl w:val="0"/>
          <w:numId w:val="1003"/>
        </w:numPr>
      </w:pPr>
      <w:r>
        <w:t xml:space="preserve">“Strengthen protection of all women and girls in armed conflict and ensure their full, equal and meaningful participation and leadership at all levels of decision-making and peace processes, including development, implementation and financing of national action plans and support for local women’s organizations.”</w:t>
      </w:r>
      <w:r>
        <w:t xml:space="preserve">,</w:t>
      </w:r>
    </w:p>
    <w:p>
      <w:pPr>
        <w:pStyle w:val="Compact"/>
        <w:numPr>
          <w:ilvl w:val="0"/>
          <w:numId w:val="1003"/>
        </w:numPr>
      </w:pPr>
      <w:r>
        <w:t xml:space="preserve">“Mainstream a gender perspective into environmental, climate change and disaster risk reduction policies, strengthen resilience and adaptive capacities of women and girls, and promote their participation and leadership in decision-making on these issues.”</w:t>
      </w:r>
      <w:r>
        <w:t xml:space="preserve">,</w:t>
      </w:r>
    </w:p>
    <w:p>
      <w:pPr>
        <w:pStyle w:val="Compact"/>
        <w:numPr>
          <w:ilvl w:val="0"/>
          <w:numId w:val="1003"/>
        </w:numPr>
      </w:pPr>
      <w:r>
        <w:t xml:space="preserve">“Strengthen capacity and coordination of national statistics and data production offices and other institutions by providing financial, technical and human resources to improve ethical collection, analysis, dissemination and use of gender statistics and data disaggregated by relevant characteristics to inform evidence-based policies and monitor progress.”</w:t>
      </w:r>
      <w:r>
        <w:t xml:space="preserve">,</w:t>
      </w:r>
    </w:p>
    <w:p>
      <w:pPr>
        <w:pStyle w:val="Compact"/>
        <w:numPr>
          <w:ilvl w:val="0"/>
          <w:numId w:val="1003"/>
        </w:numPr>
      </w:pPr>
      <w:r>
        <w:t xml:space="preserve">“Encourage Member States to consider nominating women as candidates for the Secretary-General position and as candidates for the President of the General Assembly in upcoming and subsequent selection processes.”</w:t>
      </w:r>
      <w:r>
        <w:t xml:space="preserve">,</w:t>
      </w:r>
    </w:p>
    <w:p>
      <w:pPr>
        <w:pStyle w:val="Compact"/>
        <w:numPr>
          <w:ilvl w:val="0"/>
          <w:numId w:val="1003"/>
        </w:numPr>
      </w:pPr>
      <w:r>
        <w:t xml:space="preserve">“Pledge to continue supporting civil society efforts for gender equality and empowerment of all women and girls with increased, flexible and sustainable resources at local, national, regional and global levels, including promoting and ensuring a safe and enabling environment for them.”</w:t>
      </w:r>
    </w:p>
    <w:p>
      <w:pPr>
        <w:pStyle w:val="Compact"/>
        <w:numPr>
          <w:ilvl w:val="0"/>
          <w:numId w:val="1003"/>
        </w:numPr>
      </w:pPr>
      <w:r>
        <w:t xml:space="preserve">]</w:t>
      </w:r>
    </w:p>
    <w:bookmarkEnd w:id="25"/>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2025-06-19T17:33:43Z</dcterms:created>
  <dcterms:modified xsi:type="dcterms:W3CDTF">2025-06-19T17:33:43Z</dcterms:modified>
</cp:coreProperties>
</file>

<file path=docProps/custom.xml><?xml version="1.0" encoding="utf-8"?>
<Properties xmlns="http://schemas.openxmlformats.org/officeDocument/2006/custom-properties" xmlns:vt="http://schemas.openxmlformats.org/officeDocument/2006/docPropsVTypes"/>
</file>