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5ea14932031ad60d7139620313b30f9fd644c0"/>
    <w:p>
      <w:pPr>
        <w:pStyle w:val="Heading1"/>
      </w:pPr>
      <w:r>
        <w:t xml:space="preserve">First Meeting of the Conference of the Parties to the Escazú Agreement: Rules of Procedure, Election of Officers, Committee Structure, Financial Arrangements, and Human Rights Defenders in Environmental Matters</w:t>
      </w:r>
    </w:p>
    <w:p>
      <w:pPr>
        <w:pStyle w:val="FirstParagraph"/>
      </w:pPr>
      <w:r>
        <w:rPr>
          <w:b/>
          <w:bCs/>
        </w:rPr>
        <w:t xml:space="preserve">Date</w:t>
      </w:r>
      <w:r>
        <w:t xml:space="preserve">: 2022-04-22</w:t>
      </w:r>
    </w:p>
    <w:p>
      <w:pPr>
        <w:pStyle w:val="BodyText"/>
      </w:pPr>
      <w:r>
        <w:rPr>
          <w:b/>
          <w:bCs/>
        </w:rPr>
        <w:t xml:space="preserve">Location</w:t>
      </w:r>
      <w:r>
        <w:t xml:space="preserve">: Santiago, Chile</w:t>
      </w:r>
    </w:p>
    <w:bookmarkStart w:id="20" w:name="executive-summary"/>
    <w:p>
      <w:pPr>
        <w:pStyle w:val="Heading2"/>
      </w:pPr>
      <w:r>
        <w:t xml:space="preserve">Executive Summary</w:t>
      </w:r>
    </w:p>
    <w:p>
      <w:pPr>
        <w:pStyle w:val="FirstParagraph"/>
      </w:pPr>
      <w:r>
        <w:t xml:space="preserve">The First Meeting of the Conference of the Parties to the Escazú Agreement (April 2022) adopted key decisions including the Rules of Procedure, election of Presiding Officers, and establishment of a Committee to Support Implementation and Compliance. The Committee, composed of seven independent members, will promote implementation, review compliance, and ensure public participation. Financial arrangements were agreed upon, establishing a Voluntary Fund managed by the Secretariat. The Conference set dates for future meetings, including an extraordinary meeting in April 2023 to elect Committee members and a second ordinary meeting in April 2024. An open-ended ad hoc working group on human rights defenders in environmental matters was created to prepare an action plan and hold annual forums, emphasizing protection and support for environmental human rights defenders. The meeting underscored transparency, public participation, gender balance, and geographical representation in all processes, aiming to strengthen environmental governance and access rights in Latin America and the Caribbean.</w:t>
      </w:r>
    </w:p>
    <w:bookmarkEnd w:id="20"/>
    <w:bookmarkStart w:id="21" w:name="characteristics"/>
    <w:p>
      <w:pPr>
        <w:pStyle w:val="Heading2"/>
      </w:pPr>
      <w:r>
        <w:t xml:space="preserve">Characteristics</w:t>
      </w:r>
    </w:p>
    <w:p>
      <w:pPr>
        <w:pStyle w:val="Compact"/>
        <w:numPr>
          <w:ilvl w:val="0"/>
          <w:numId w:val="1001"/>
        </w:numPr>
      </w:pPr>
      <w:r>
        <w:t xml:space="preserve">The Escazú Agreement establishes a Conference of the Parties (COP) with rules of procedure adopted at its first meeting, including public participation modalities and meeting logistics.</w:t>
      </w:r>
    </w:p>
    <w:p>
      <w:pPr>
        <w:pStyle w:val="Compact"/>
        <w:numPr>
          <w:ilvl w:val="0"/>
          <w:numId w:val="1001"/>
        </w:numPr>
      </w:pPr>
      <w:r>
        <w:t xml:space="preserve">The COP meets at least biennially, with provisions for extraordinary meetings, and is chaired by elected Presiding Officers serving staggered terms with geographic and gender balance.</w:t>
      </w:r>
    </w:p>
    <w:p>
      <w:pPr>
        <w:pStyle w:val="Compact"/>
        <w:numPr>
          <w:ilvl w:val="0"/>
          <w:numId w:val="1001"/>
        </w:numPr>
      </w:pPr>
      <w:r>
        <w:t xml:space="preserve">A Committee to Support Implementation and Compliance is established as a subsidiary body, composed of seven independent members with expertise, tasked with promoting implementation, reviewing compliance, and engaging public participation.</w:t>
      </w:r>
    </w:p>
    <w:p>
      <w:pPr>
        <w:pStyle w:val="Compact"/>
        <w:numPr>
          <w:ilvl w:val="0"/>
          <w:numId w:val="1001"/>
        </w:numPr>
      </w:pPr>
      <w:r>
        <w:t xml:space="preserve">Decision-making prioritizes consensus, with voting procedures defined for substantive and procedural matters, including secret ballots for elections.</w:t>
      </w:r>
    </w:p>
    <w:p>
      <w:pPr>
        <w:pStyle w:val="Compact"/>
        <w:numPr>
          <w:ilvl w:val="0"/>
          <w:numId w:val="1001"/>
        </w:numPr>
      </w:pPr>
      <w:r>
        <w:t xml:space="preserve">Public participation is significant, allowing attendance, statements, document access, and involvement in subsidiary bodies, facilitated by a regional public mechanism.</w:t>
      </w:r>
    </w:p>
    <w:p>
      <w:pPr>
        <w:pStyle w:val="Compact"/>
        <w:numPr>
          <w:ilvl w:val="0"/>
          <w:numId w:val="1001"/>
        </w:numPr>
      </w:pPr>
      <w:r>
        <w:t xml:space="preserve">Financial arrangements include a Voluntary Fund managed by the Secretariat under UN rules, with calls for stable, predictable funding to support implementation.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Policy Level Representatives; Community of Latin American and Caribbean States; United Nations; United Nations Officials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Data &amp; Governance</w:t>
            </w:r>
          </w:p>
        </w:tc>
        <w:tc>
          <w:tcPr/>
          <w:p>
            <w:pPr>
              <w:pStyle w:val="Compact"/>
            </w:pPr>
            <w:r>
              <w:t xml:space="preserve">Digital Governance</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Adoption and implementation of the Rules of Procedure of the Conference of the Parties to the Escazú Agreement, including modalities for significant public participation in meetings.</w:t>
      </w:r>
    </w:p>
    <w:p>
      <w:pPr>
        <w:pStyle w:val="Compact"/>
        <w:numPr>
          <w:ilvl w:val="0"/>
          <w:numId w:val="1002"/>
        </w:numPr>
      </w:pPr>
      <w:r>
        <w:t xml:space="preserve">Establishment and election of Presiding Officers (Chair and Vice-Chairs) to lead the Conference of the Parties, including one elected public representative with voice but no vote.</w:t>
      </w:r>
    </w:p>
    <w:p>
      <w:pPr>
        <w:pStyle w:val="Compact"/>
        <w:numPr>
          <w:ilvl w:val="0"/>
          <w:numId w:val="1002"/>
        </w:numPr>
      </w:pPr>
      <w:r>
        <w:t xml:space="preserve">Creation of the Committee to Support Implementation and Compliance as a subsidiary body to promote and support implementation of the Agreement, with adopted rules on its structure and functions.</w:t>
      </w:r>
    </w:p>
    <w:p>
      <w:pPr>
        <w:pStyle w:val="Compact"/>
        <w:numPr>
          <w:ilvl w:val="0"/>
          <w:numId w:val="1002"/>
        </w:numPr>
      </w:pPr>
      <w:r>
        <w:t xml:space="preserve">Procedures for nomination, election, and terms of Committee members, ensuring equitable geographical distribution, gender parity, and legal expertise.</w:t>
      </w:r>
    </w:p>
    <w:p>
      <w:pPr>
        <w:pStyle w:val="Compact"/>
        <w:numPr>
          <w:ilvl w:val="0"/>
          <w:numId w:val="1002"/>
        </w:numPr>
      </w:pPr>
      <w:r>
        <w:t xml:space="preserve">Mechanisms for the Committee to receive, register, and consider communications alleging non-compliance, including protection measures for public members filing communications.</w:t>
      </w:r>
    </w:p>
    <w:p>
      <w:pPr>
        <w:pStyle w:val="Compact"/>
        <w:numPr>
          <w:ilvl w:val="0"/>
          <w:numId w:val="1002"/>
        </w:numPr>
      </w:pPr>
      <w:r>
        <w:t xml:space="preserve">Provision for significant public participation in the Committee’s functions, including rights to provide information, participate in meetings, and engage in dialogues.</w:t>
      </w:r>
    </w:p>
    <w:p>
      <w:pPr>
        <w:pStyle w:val="Compact"/>
        <w:numPr>
          <w:ilvl w:val="0"/>
          <w:numId w:val="1002"/>
        </w:numPr>
      </w:pPr>
      <w:r>
        <w:t xml:space="preserve">Establishment of a Voluntary Fund as a UN trust fund to finance implementation activities, administered by the Secretariat with transparent financial reporting.</w:t>
      </w:r>
    </w:p>
    <w:p>
      <w:pPr>
        <w:pStyle w:val="Compact"/>
        <w:numPr>
          <w:ilvl w:val="0"/>
          <w:numId w:val="1002"/>
        </w:numPr>
      </w:pPr>
      <w:r>
        <w:t xml:space="preserve">Secretariat functions carried out by the Executive Secretary of ECLAC, including meeting organization, document circulation, and financial management.</w:t>
      </w:r>
    </w:p>
    <w:p>
      <w:pPr>
        <w:pStyle w:val="Compact"/>
        <w:numPr>
          <w:ilvl w:val="0"/>
          <w:numId w:val="1002"/>
        </w:numPr>
      </w:pPr>
      <w:r>
        <w:t xml:space="preserve">Scheduling of ordinary meetings of the Conference of the Parties at least every two years, with extraordinary meetings as needed, including a planned extraordinary meeting in Argentina in April 2023 and a second ordinary meeting in April 2024.</w:t>
      </w:r>
    </w:p>
    <w:p>
      <w:pPr>
        <w:pStyle w:val="Compact"/>
        <w:numPr>
          <w:ilvl w:val="0"/>
          <w:numId w:val="1002"/>
        </w:numPr>
      </w:pPr>
      <w:r>
        <w:t xml:space="preserve">Establishment of an open-ended ad hoc working group on human rights defenders in environmental matters to prepare an action plan, hold annual forums, and promote national measures to protect these defenders.</w:t>
      </w:r>
    </w:p>
    <w:bookmarkEnd w:id="24"/>
    <w:bookmarkStart w:id="25" w:name="commitments"/>
    <w:p>
      <w:pPr>
        <w:pStyle w:val="Heading2"/>
      </w:pPr>
      <w:r>
        <w:t xml:space="preserve">Commitments</w:t>
      </w:r>
    </w:p>
    <w:p>
      <w:pPr>
        <w:pStyle w:val="Compact"/>
        <w:numPr>
          <w:ilvl w:val="0"/>
          <w:numId w:val="1003"/>
        </w:numPr>
      </w:pPr>
      <w:r>
        <w:t xml:space="preserve">The Presiding Officers elected at the first ordinary meeting shall remain in office until the closure of the second ordinary meeting of the Conference of the Parties, including any extraordinary meetings in the interim.</w:t>
      </w:r>
    </w:p>
    <w:p>
      <w:pPr>
        <w:pStyle w:val="Compact"/>
        <w:numPr>
          <w:ilvl w:val="0"/>
          <w:numId w:val="1003"/>
        </w:numPr>
      </w:pPr>
      <w:r>
        <w:t xml:space="preserve">The public is requested to designate one of its elected representatives to the Presiding Officers within two months of the adoption of the decision I/2.</w:t>
      </w:r>
    </w:p>
    <w:p>
      <w:pPr>
        <w:pStyle w:val="Compact"/>
        <w:numPr>
          <w:ilvl w:val="0"/>
          <w:numId w:val="1003"/>
        </w:numPr>
      </w:pPr>
      <w:r>
        <w:t xml:space="preserve">Members of the Committee to Support Implementation and Compliance shall serve a term of four years, renewable for another four years. Of the members elected at the first election, three shall serve a term of six years determined by lot.</w:t>
      </w:r>
    </w:p>
    <w:p>
      <w:pPr>
        <w:pStyle w:val="Compact"/>
        <w:numPr>
          <w:ilvl w:val="0"/>
          <w:numId w:val="1003"/>
        </w:numPr>
      </w:pPr>
      <w:r>
        <w:t xml:space="preserve">The Committee to Support Implementation and Compliance shall hold in-person meetings at least once a year.</w:t>
      </w:r>
    </w:p>
    <w:p>
      <w:pPr>
        <w:pStyle w:val="Compact"/>
        <w:numPr>
          <w:ilvl w:val="0"/>
          <w:numId w:val="1003"/>
        </w:numPr>
      </w:pPr>
      <w:r>
        <w:t xml:space="preserve">The Committee may not receive communications on the compliance of a Party before the closure of the second meeting of the Conference of the Parties.</w:t>
      </w:r>
    </w:p>
    <w:p>
      <w:pPr>
        <w:pStyle w:val="Compact"/>
        <w:numPr>
          <w:ilvl w:val="0"/>
          <w:numId w:val="1003"/>
        </w:numPr>
      </w:pPr>
      <w:r>
        <w:t xml:space="preserve">The Committee may not receive communications on a Party’s compliance until one year after the entry into force of the Agreement for that Party.</w:t>
      </w:r>
    </w:p>
    <w:p>
      <w:pPr>
        <w:pStyle w:val="Compact"/>
        <w:numPr>
          <w:ilvl w:val="0"/>
          <w:numId w:val="1003"/>
        </w:numPr>
      </w:pPr>
      <w:r>
        <w:t xml:space="preserve">The Voluntary Fund to support the implementation of the Agreement shall be administered as a trust fund under UN regulations, with no earmarking of contributions.</w:t>
      </w:r>
    </w:p>
    <w:p>
      <w:pPr>
        <w:pStyle w:val="Compact"/>
        <w:numPr>
          <w:ilvl w:val="0"/>
          <w:numId w:val="1003"/>
        </w:numPr>
      </w:pPr>
      <w:r>
        <w:t xml:space="preserve">The Secretariat is requested to continue exploring additional sources of funding to support activities planned for the 2022–2024 period.</w:t>
      </w:r>
    </w:p>
    <w:p>
      <w:pPr>
        <w:pStyle w:val="Compact"/>
        <w:numPr>
          <w:ilvl w:val="0"/>
          <w:numId w:val="1003"/>
        </w:numPr>
      </w:pPr>
      <w:r>
        <w:t xml:space="preserve">The Economic Commission for Latin America and the Caribbean is requested to allocate additional resources from its regular budget to support the Agreement.</w:t>
      </w:r>
    </w:p>
    <w:p>
      <w:pPr>
        <w:pStyle w:val="Compact"/>
        <w:numPr>
          <w:ilvl w:val="0"/>
          <w:numId w:val="1003"/>
        </w:numPr>
      </w:pPr>
      <w:r>
        <w:t xml:space="preserve">The Conference of the Parties agrees to consider financial arrangements at its second ordinary meeting.</w:t>
      </w:r>
    </w:p>
    <w:p>
      <w:pPr>
        <w:pStyle w:val="Compact"/>
        <w:numPr>
          <w:ilvl w:val="0"/>
          <w:numId w:val="1003"/>
        </w:numPr>
      </w:pPr>
      <w:r>
        <w:t xml:space="preserve">An extraordinary meeting of the Conference of the Parties shall be convened tentatively on 20 and 21 April 2023 in Argentina to elect inaugural members of the Committee to Support Implementation and Compliance and consider other matters.</w:t>
      </w:r>
    </w:p>
    <w:p>
      <w:pPr>
        <w:pStyle w:val="Compact"/>
        <w:numPr>
          <w:ilvl w:val="0"/>
          <w:numId w:val="1003"/>
        </w:numPr>
      </w:pPr>
      <w:r>
        <w:t xml:space="preserve">The second ordinary meeting of the Conference of the Parties is tentatively scheduled for 22 to 24 April 2024.</w:t>
      </w:r>
    </w:p>
    <w:p>
      <w:pPr>
        <w:pStyle w:val="Compact"/>
        <w:numPr>
          <w:ilvl w:val="0"/>
          <w:numId w:val="1003"/>
        </w:numPr>
      </w:pPr>
      <w:r>
        <w:t xml:space="preserve">The open-ended ad hoc working group on human rights defenders in environmental matters shall prepare an action plan to be presented at the second ordinary meeting of the Conference of the Parties for consideration and adoption.</w:t>
      </w:r>
    </w:p>
    <w:p>
      <w:pPr>
        <w:pStyle w:val="Compact"/>
        <w:numPr>
          <w:ilvl w:val="0"/>
          <w:numId w:val="1003"/>
        </w:numPr>
      </w:pPr>
      <w:r>
        <w:t xml:space="preserve">An annual forum on human rights defenders in environmental matters shall be held, with a final report prepared to serve as input for drafting and review of the relevant action plan.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2025-06-19T17:45:59Z</dcterms:created>
  <dcterms:modified xsi:type="dcterms:W3CDTF">2025-06-19T17:45:59Z</dcterms:modified>
</cp:coreProperties>
</file>

<file path=docProps/custom.xml><?xml version="1.0" encoding="utf-8"?>
<Properties xmlns="http://schemas.openxmlformats.org/officeDocument/2006/custom-properties" xmlns:vt="http://schemas.openxmlformats.org/officeDocument/2006/docPropsVTypes"/>
</file>