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a83b3777be81f331fadc3305022a9e887afe76"/>
    <w:p>
      <w:pPr>
        <w:pStyle w:val="Heading1"/>
      </w:pPr>
      <w:r>
        <w:t xml:space="preserve">12th Brazil-EU Digital Dialogue Joint Communiqué</w:t>
      </w:r>
    </w:p>
    <w:p>
      <w:pPr>
        <w:pStyle w:val="FirstParagraph"/>
      </w:pPr>
      <w:r>
        <w:rPr>
          <w:b/>
          <w:bCs/>
        </w:rPr>
        <w:t xml:space="preserve">Date</w:t>
      </w:r>
      <w:r>
        <w:t xml:space="preserve">: 2024-03-20</w:t>
      </w:r>
    </w:p>
    <w:p>
      <w:pPr>
        <w:pStyle w:val="BodyText"/>
      </w:pPr>
      <w:r>
        <w:rPr>
          <w:b/>
          <w:bCs/>
        </w:rPr>
        <w:t xml:space="preserve">Location</w:t>
      </w:r>
      <w:r>
        <w:t xml:space="preserve">: Brasilia, Brazil</w:t>
      </w:r>
    </w:p>
    <w:bookmarkStart w:id="20" w:name="executive-summary"/>
    <w:p>
      <w:pPr>
        <w:pStyle w:val="Heading2"/>
      </w:pPr>
      <w:r>
        <w:t xml:space="preserve">Executive Summary</w:t>
      </w:r>
    </w:p>
    <w:p>
      <w:pPr>
        <w:pStyle w:val="FirstParagraph"/>
      </w:pPr>
      <w:r>
        <w:t xml:space="preserve">The 12th Brazil-EU Digital Dialogue, held on March 20th in Brasilia, reaffirmed the strong partnership between Brazil and the European Union in advancing digital transformation. Key areas of cooperation include digital connectivity (especially in underserved regions like the Amazon), collaboration on 5G/6G technologies, high-performance computing, semiconductor supply chain resilience, digital signature interoperability, data protection, and regulatory frameworks for the digital economy, including artificial intelligence. Both parties emphasized shared values of democracy, human rights, and sustainable development, aiming to foster inclusive and sustainable digital growth. Preparatory workshops enriched discussions, and a workplan will guide the implementation of agreed actions, with progress to be reviewed at the next Dialogue. This ongoing collaboration seeks to deliver concrete outcomes, strengthen the partnership, and promote a secure, innovative digital future for both regions.</w:t>
      </w:r>
    </w:p>
    <w:bookmarkEnd w:id="20"/>
    <w:bookmarkStart w:id="21" w:name="characteristics"/>
    <w:p>
      <w:pPr>
        <w:pStyle w:val="Heading2"/>
      </w:pPr>
      <w:r>
        <w:t xml:space="preserve">Characteristics</w:t>
      </w:r>
    </w:p>
    <w:p>
      <w:pPr>
        <w:pStyle w:val="Compact"/>
        <w:numPr>
          <w:ilvl w:val="0"/>
          <w:numId w:val="1001"/>
        </w:numPr>
      </w:pPr>
      <w:r>
        <w:t xml:space="preserve">Focus on digital transformation, including digital connectivity, digital government, information integrity, and collaboration on advanced technologies (5G/6G, High Performance Computing, quantum computing).</w:t>
      </w:r>
    </w:p>
    <w:p>
      <w:pPr>
        <w:pStyle w:val="Compact"/>
        <w:numPr>
          <w:ilvl w:val="0"/>
          <w:numId w:val="1001"/>
        </w:numPr>
      </w:pPr>
      <w:r>
        <w:t xml:space="preserve">Emphasis on policy frameworks for data economy, artificial intelligence, and digital platforms, aiming for shared principles and possible regulatory convergence.</w:t>
      </w:r>
    </w:p>
    <w:p>
      <w:pPr>
        <w:pStyle w:val="Compact"/>
        <w:numPr>
          <w:ilvl w:val="0"/>
          <w:numId w:val="1001"/>
        </w:numPr>
      </w:pPr>
      <w:r>
        <w:t xml:space="preserve">Commitment to inclusive, sustainable growth, innovation, and addressing digital challenges, reflecting shared values of democracy, human rights, and sustainable development.</w:t>
      </w:r>
    </w:p>
    <w:p>
      <w:pPr>
        <w:pStyle w:val="Compact"/>
        <w:numPr>
          <w:ilvl w:val="0"/>
          <w:numId w:val="1001"/>
        </w:numPr>
      </w:pPr>
      <w:r>
        <w:t xml:space="preserve">Priority cooperation areas: digital connectivity in underserved regions (e.g., Amazon), 5G/6G technology, HPC collaboration, semiconductor supply chain resilience, digital signature interoperability, data protection, and international data flows.</w:t>
      </w:r>
    </w:p>
    <w:p>
      <w:pPr>
        <w:pStyle w:val="Compact"/>
        <w:numPr>
          <w:ilvl w:val="0"/>
          <w:numId w:val="1001"/>
        </w:numPr>
      </w:pPr>
      <w:r>
        <w:t xml:space="preserve">Ongoing dialogue and workplan to monitor progress, with a focus on concrete outcomes and mutual benefit for citizens and businesses.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European Union; EU Member States; Policy Level Representatives</w:t>
            </w:r>
          </w:p>
        </w:tc>
      </w:tr>
      <w:tr>
        <w:tc>
          <w:tcPr/>
          <w:p>
            <w:pPr>
              <w:pStyle w:val="Compact"/>
            </w:pPr>
            <w:r>
              <w:t xml:space="preserve">Research and Innovation Actors</w:t>
            </w:r>
          </w:p>
        </w:tc>
        <w:tc>
          <w:tcPr/>
          <w:p>
            <w:pPr>
              <w:pStyle w:val="Compact"/>
            </w:pPr>
            <w:r>
              <w:t xml:space="preserve">Technology Organisations; Research Performing Organisations</w:t>
            </w:r>
          </w:p>
        </w:tc>
      </w:tr>
      <w:tr>
        <w:tc>
          <w:tcPr/>
          <w:p>
            <w:pPr>
              <w:pStyle w:val="Compact"/>
            </w:pPr>
            <w:r>
              <w:t xml:space="preserve">Economic Actors</w:t>
            </w:r>
          </w:p>
        </w:tc>
        <w:tc>
          <w:tcPr/>
          <w:p>
            <w:pPr>
              <w:pStyle w:val="Compact"/>
            </w:pPr>
            <w:r>
              <w:t xml:space="preserve">Bilateral Projects; Digital Companies; ICT Companies; Telecommunication Companies; Industry Actors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Digital &amp; Technological Partnerships; Bi-regional Cooperation</w:t>
            </w:r>
          </w:p>
        </w:tc>
      </w:tr>
      <w:tr>
        <w:tc>
          <w:tcPr/>
          <w:p>
            <w:pPr>
              <w:pStyle w:val="Compact"/>
            </w:pPr>
            <w:r>
              <w:t xml:space="preserve">Digital Transformation &amp; Strategy</w:t>
            </w:r>
          </w:p>
        </w:tc>
        <w:tc>
          <w:tcPr/>
          <w:p>
            <w:pPr>
              <w:pStyle w:val="Compact"/>
            </w:pPr>
            <w:r>
              <w:t xml:space="preserve">Digital Connectivity; Digital Platforms; Digital Economy; Digital Infrastructure</w:t>
            </w:r>
          </w:p>
        </w:tc>
      </w:tr>
      <w:tr>
        <w:tc>
          <w:tcPr/>
          <w:p>
            <w:pPr>
              <w:pStyle w:val="Compact"/>
            </w:pPr>
            <w:r>
              <w:t xml:space="preserve">Technology &amp; Innovation</w:t>
            </w:r>
          </w:p>
        </w:tc>
        <w:tc>
          <w:tcPr/>
          <w:p>
            <w:pPr>
              <w:pStyle w:val="Compact"/>
            </w:pPr>
            <w:r>
              <w:t xml:space="preserve">5G; Artificial Intelligence; High-Performance Computing; Quantum Technologies</w:t>
            </w:r>
          </w:p>
        </w:tc>
      </w:tr>
      <w:tr>
        <w:tc>
          <w:tcPr/>
          <w:p>
            <w:pPr>
              <w:pStyle w:val="Compact"/>
            </w:pPr>
            <w:r>
              <w:t xml:space="preserve">Data &amp; Governance</w:t>
            </w:r>
          </w:p>
        </w:tc>
        <w:tc>
          <w:tcPr/>
          <w:p>
            <w:pPr>
              <w:pStyle w:val="Compact"/>
            </w:pPr>
            <w:r>
              <w:t xml:space="preserve">Data Protection; Data Governance; Digital Governance</w:t>
            </w:r>
          </w:p>
        </w:tc>
      </w:tr>
      <w:tr>
        <w:tc>
          <w:tcPr/>
          <w:p>
            <w:pPr>
              <w:pStyle w:val="Compact"/>
            </w:pPr>
            <w:r>
              <w:t xml:space="preserve">Inclusion &amp; Social Development</w:t>
            </w:r>
          </w:p>
        </w:tc>
        <w:tc>
          <w:tcPr/>
          <w:p>
            <w:pPr>
              <w:pStyle w:val="Compact"/>
            </w:pPr>
            <w:r>
              <w:t xml:space="preserve">Digital Inclusion</w:t>
            </w:r>
          </w:p>
        </w:tc>
      </w:tr>
    </w:tbl>
    <w:bookmarkEnd w:id="23"/>
    <w:bookmarkStart w:id="24" w:name="practical-applications"/>
    <w:p>
      <w:pPr>
        <w:pStyle w:val="Heading2"/>
      </w:pPr>
      <w:r>
        <w:t xml:space="preserve">Practical Applications</w:t>
      </w:r>
    </w:p>
    <w:p>
      <w:pPr>
        <w:pStyle w:val="Compact"/>
        <w:numPr>
          <w:ilvl w:val="0"/>
          <w:numId w:val="1002"/>
        </w:numPr>
      </w:pPr>
      <w:r>
        <w:t xml:space="preserve">Ongoing cooperation on meaningful digital connectivity projects, particularly targeting under-served regions of Brazil such as the Amazon region.</w:t>
      </w:r>
    </w:p>
    <w:p>
      <w:pPr>
        <w:pStyle w:val="Compact"/>
        <w:numPr>
          <w:ilvl w:val="0"/>
          <w:numId w:val="1002"/>
        </w:numPr>
      </w:pPr>
      <w:r>
        <w:t xml:space="preserve">Existing cooperation between European Union and Brazil stakeholders on 5G technologies, with exploration of extension to 6G technologies and potential 5G use cases in key economic sectors (agriculture, energy, mobility).</w:t>
      </w:r>
    </w:p>
    <w:p>
      <w:pPr>
        <w:pStyle w:val="Compact"/>
        <w:numPr>
          <w:ilvl w:val="0"/>
          <w:numId w:val="1002"/>
        </w:numPr>
      </w:pPr>
      <w:r>
        <w:t xml:space="preserve">Enhanced cooperation between Brazilian and European Union High Performance Computing (HPC) centres, including collaboration on HPC applications.</w:t>
      </w:r>
    </w:p>
    <w:p>
      <w:pPr>
        <w:pStyle w:val="Compact"/>
        <w:numPr>
          <w:ilvl w:val="0"/>
          <w:numId w:val="1002"/>
        </w:numPr>
      </w:pPr>
      <w:r>
        <w:t xml:space="preserve">Knowledge sharing and exchange initiatives focused on the stability and resilience of global semiconductor supply chains.</w:t>
      </w:r>
    </w:p>
    <w:p>
      <w:pPr>
        <w:pStyle w:val="Compact"/>
        <w:numPr>
          <w:ilvl w:val="0"/>
          <w:numId w:val="1002"/>
        </w:numPr>
      </w:pPr>
      <w:r>
        <w:t xml:space="preserve">Technical work on interoperability of Brazil and European Union digital signature systems, aiming toward possible future mutual recognition.</w:t>
      </w:r>
    </w:p>
    <w:p>
      <w:pPr>
        <w:pStyle w:val="Compact"/>
        <w:numPr>
          <w:ilvl w:val="0"/>
          <w:numId w:val="1002"/>
        </w:numPr>
      </w:pPr>
      <w:r>
        <w:t xml:space="preserve">Continued dialogue and cooperation on data protection and international data flows, with the goal of finalizing mutual adequacy decisions.</w:t>
      </w:r>
    </w:p>
    <w:p>
      <w:pPr>
        <w:pStyle w:val="Compact"/>
        <w:numPr>
          <w:ilvl w:val="0"/>
          <w:numId w:val="1002"/>
        </w:numPr>
      </w:pPr>
      <w:r>
        <w:t xml:space="preserve">Exchange of best practices and promotion of cooperation, including research, on regulatory frameworks for the digital economy (covering data governance, artificial intelligence, and digital platforms).</w:t>
      </w:r>
    </w:p>
    <w:p>
      <w:pPr>
        <w:pStyle w:val="Compact"/>
        <w:numPr>
          <w:ilvl w:val="0"/>
          <w:numId w:val="1002"/>
        </w:numPr>
      </w:pPr>
      <w:r>
        <w:t xml:space="preserve">Joint cooperation in international fora to promote an inclusive digital ecosystem based on shared values of democracy, human rights, and sustainable development.</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2025-06-11T17:21:25Z</dcterms:created>
  <dcterms:modified xsi:type="dcterms:W3CDTF">2025-06-11T17:21:25Z</dcterms:modified>
</cp:coreProperties>
</file>

<file path=docProps/custom.xml><?xml version="1.0" encoding="utf-8"?>
<Properties xmlns="http://schemas.openxmlformats.org/officeDocument/2006/custom-properties" xmlns:vt="http://schemas.openxmlformats.org/officeDocument/2006/docPropsVTypes"/>
</file>