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3a9e4e3e8f19f12f4f36cac1d563d9b6b9bef5"/>
    <w:p>
      <w:pPr>
        <w:pStyle w:val="Heading1"/>
      </w:pPr>
      <w:r>
        <w:t xml:space="preserve">The EU-LAC Global Gateway Investment Agenda: Key Projects and Priorities for Sustainable Development</w:t>
      </w:r>
    </w:p>
    <w:p>
      <w:pPr>
        <w:pStyle w:val="FirstParagraph"/>
      </w:pPr>
      <w:r>
        <w:rPr>
          <w:b/>
          <w:bCs/>
        </w:rPr>
        <w:t xml:space="preserve">Date</w:t>
      </w:r>
      <w:r>
        <w:t xml:space="preserve">: 2023-07</w:t>
      </w:r>
    </w:p>
    <w:p>
      <w:pPr>
        <w:pStyle w:val="BodyText"/>
      </w:pPr>
      <w:r>
        <w:rPr>
          <w:b/>
          <w:bCs/>
        </w:rPr>
        <w:t xml:space="preserve">Location</w:t>
      </w:r>
      <w:r>
        <w:t xml:space="preserve">: Luxembourg, Luxembourg</w:t>
      </w:r>
    </w:p>
    <w:bookmarkStart w:id="20" w:name="executive-summary"/>
    <w:p>
      <w:pPr>
        <w:pStyle w:val="Heading2"/>
      </w:pPr>
      <w:r>
        <w:t xml:space="preserve">Executive Summary</w:t>
      </w:r>
    </w:p>
    <w:p>
      <w:pPr>
        <w:pStyle w:val="FirstParagraph"/>
      </w:pPr>
      <w:r>
        <w:t xml:space="preserve">The EU-LAC Global Gateway Investment Agenda, launched in July 2023, outlines the European Union’s commitment to invest over €45 billion in Latin America and the Caribbean (LAC) by 2027. The agenda focuses on fostering a green, digital, and fair transition through more than 130 projects across the region, targeting areas such as renewable energy, digital infrastructure, health resilience, and critical raw materials. Key initiatives include expanding telecom networks, supporting green hydrogen, electrifying public transport, and enhancing social cohesion. The agenda is structured around four pillars: a fair green transition, inclusive digital transformation, human development, and health resilience. Delivered through Team Europe—comprising the EU, its Member States, and financial institutions—the agenda leverages public-private partnerships to drive sustainable growth, innovation, and social inclusion in LAC countries.</w:t>
      </w:r>
    </w:p>
    <w:bookmarkEnd w:id="20"/>
    <w:bookmarkStart w:id="21" w:name="characteristics"/>
    <w:p>
      <w:pPr>
        <w:pStyle w:val="Heading2"/>
      </w:pPr>
      <w:r>
        <w:t xml:space="preserve">Characteristics</w:t>
      </w:r>
    </w:p>
    <w:p>
      <w:pPr>
        <w:pStyle w:val="Compact"/>
        <w:numPr>
          <w:ilvl w:val="0"/>
          <w:numId w:val="1001"/>
        </w:numPr>
      </w:pPr>
      <w:r>
        <w:t xml:space="preserve">Focuses on green, digital, and fair transitions to strengthen Latin America and the Caribbean’s potential in biodiversity, renewable energy, green hydrogen, agriculture, and critical raw materials.</w:t>
      </w:r>
    </w:p>
    <w:p>
      <w:pPr>
        <w:pStyle w:val="Compact"/>
        <w:numPr>
          <w:ilvl w:val="0"/>
          <w:numId w:val="1001"/>
        </w:numPr>
      </w:pPr>
      <w:r>
        <w:t xml:space="preserve">Backed by over €45 billion from Team Europe (EU, Member States, EIB, and others) for public-private partnerships until 2027.</w:t>
      </w:r>
    </w:p>
    <w:p>
      <w:pPr>
        <w:pStyle w:val="Compact"/>
        <w:numPr>
          <w:ilvl w:val="0"/>
          <w:numId w:val="1001"/>
        </w:numPr>
      </w:pPr>
      <w:r>
        <w:t xml:space="preserve">Structured around four pillars: fair green transition, inclusive digital transformation, human development, and health resilience/vaccines.</w:t>
      </w:r>
    </w:p>
    <w:p>
      <w:pPr>
        <w:pStyle w:val="Compact"/>
        <w:numPr>
          <w:ilvl w:val="0"/>
          <w:numId w:val="1001"/>
        </w:numPr>
      </w:pPr>
      <w:r>
        <w:t xml:space="preserve">Encompasses 130+ projects, including telecom expansion, 5G deployment, electricity upgrades, energy access, green hydrogen, public transport electrification, and metro construction.</w:t>
      </w:r>
    </w:p>
    <w:p>
      <w:pPr>
        <w:pStyle w:val="Compact"/>
        <w:numPr>
          <w:ilvl w:val="0"/>
          <w:numId w:val="1001"/>
        </w:numPr>
      </w:pPr>
      <w:r>
        <w:t xml:space="preserve">Supports sustainable supply chains for critical raw materials and fosters green bond markets and local health manufacturing.</w:t>
      </w:r>
    </w:p>
    <w:p>
      <w:pPr>
        <w:pStyle w:val="Compact"/>
        <w:numPr>
          <w:ilvl w:val="0"/>
          <w:numId w:val="1001"/>
        </w:numPr>
      </w:pPr>
      <w:r>
        <w:t xml:space="preserve">Includes a €60 million “Inclusive Societies” programme to tackle inequalities and enhance social cohesion in the region.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 Community of Latin American and Caribbean States; Governments</w:t>
            </w:r>
          </w:p>
        </w:tc>
      </w:tr>
      <w:tr>
        <w:tc>
          <w:tcPr/>
          <w:p>
            <w:pPr>
              <w:pStyle w:val="Compact"/>
            </w:pPr>
            <w:r>
              <w:t xml:space="preserve">Research and Innovation Actors</w:t>
            </w:r>
          </w:p>
        </w:tc>
        <w:tc>
          <w:tcPr/>
          <w:p>
            <w:pPr>
              <w:pStyle w:val="Compact"/>
            </w:pPr>
            <w:r>
              <w:t xml:space="preserve">EU-LAC Digital Alliance; Technology Organisations</w:t>
            </w:r>
          </w:p>
        </w:tc>
      </w:tr>
      <w:tr>
        <w:tc>
          <w:tcPr/>
          <w:p>
            <w:pPr>
              <w:pStyle w:val="Compact"/>
            </w:pPr>
            <w:r>
              <w:t xml:space="preserve">Economic Actors</w:t>
            </w:r>
          </w:p>
        </w:tc>
        <w:tc>
          <w:tcPr/>
          <w:p>
            <w:pPr>
              <w:pStyle w:val="Compact"/>
            </w:pPr>
            <w:r>
              <w:t xml:space="preserve">Private Sector Representatives; Development Bank of Latin America and the Caribbean; Telecommunication Companies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EU-CELAC Digital Partnership; Digital &amp; Technological Partnerships; Bi-regional Cooperation; Global Digital Cooperation</w:t>
            </w:r>
          </w:p>
        </w:tc>
      </w:tr>
      <w:tr>
        <w:tc>
          <w:tcPr/>
          <w:p>
            <w:pPr>
              <w:pStyle w:val="Compact"/>
            </w:pPr>
            <w:r>
              <w:t xml:space="preserve">Digital Transformation &amp; Strategy</w:t>
            </w:r>
          </w:p>
        </w:tc>
        <w:tc>
          <w:tcPr/>
          <w:p>
            <w:pPr>
              <w:pStyle w:val="Compact"/>
            </w:pPr>
            <w:r>
              <w:t xml:space="preserve">Digital Infrastructure; Digital Platforms; Digital Acceleration; Digital Economy; Digital Skills Development; Digital Ecosystem</w:t>
            </w:r>
          </w:p>
        </w:tc>
      </w:tr>
      <w:tr>
        <w:tc>
          <w:tcPr/>
          <w:p>
            <w:pPr>
              <w:pStyle w:val="Compact"/>
            </w:pPr>
            <w:r>
              <w:t xml:space="preserve">Inclusion &amp; Social Development</w:t>
            </w:r>
          </w:p>
        </w:tc>
        <w:tc>
          <w:tcPr/>
          <w:p>
            <w:pPr>
              <w:pStyle w:val="Compact"/>
            </w:pPr>
            <w:r>
              <w:t xml:space="preserve">Digital Inclusion; Social Cohesion; Connectivity; Sustainable Digital Development</w:t>
            </w:r>
          </w:p>
        </w:tc>
      </w:tr>
    </w:tbl>
    <w:bookmarkEnd w:id="23"/>
    <w:bookmarkStart w:id="24" w:name="practical-applications"/>
    <w:p>
      <w:pPr>
        <w:pStyle w:val="Heading2"/>
      </w:pPr>
      <w:r>
        <w:t xml:space="preserve">Practical Applications</w:t>
      </w:r>
    </w:p>
    <w:p>
      <w:pPr>
        <w:pStyle w:val="Compact"/>
        <w:numPr>
          <w:ilvl w:val="0"/>
          <w:numId w:val="1002"/>
        </w:numPr>
      </w:pPr>
      <w:r>
        <w:t xml:space="preserve">Team Europe has committed over €45 billion to support the reinforced partnership with Latin America and the Caribbean until 2027, involving EU Member States, the European Investment Bank (EIB), export credit agencies, and public-private partnerships.</w:t>
      </w:r>
    </w:p>
    <w:p>
      <w:pPr>
        <w:pStyle w:val="Compact"/>
        <w:numPr>
          <w:ilvl w:val="0"/>
          <w:numId w:val="1002"/>
        </w:numPr>
      </w:pPr>
      <w:r>
        <w:t xml:space="preserve">The EU is collaborating with the Brazilian government and EU private sector to expand telecoms networks in the Amazon region.</w:t>
      </w:r>
    </w:p>
    <w:p>
      <w:pPr>
        <w:pStyle w:val="Compact"/>
        <w:numPr>
          <w:ilvl w:val="0"/>
          <w:numId w:val="1002"/>
        </w:numPr>
      </w:pPr>
      <w:r>
        <w:t xml:space="preserve">In Jamaica, the EU is supporting the deployment of 5G to achieve island-wide broadband access.</w:t>
      </w:r>
    </w:p>
    <w:p>
      <w:pPr>
        <w:pStyle w:val="Compact"/>
        <w:numPr>
          <w:ilvl w:val="0"/>
          <w:numId w:val="1002"/>
        </w:numPr>
      </w:pPr>
      <w:r>
        <w:t xml:space="preserve">In Paraguay, the EU is supporting the upgrade of the electricity network in partnership with the Administración Nacional de Electricidad.</w:t>
      </w:r>
    </w:p>
    <w:p>
      <w:pPr>
        <w:pStyle w:val="Compact"/>
        <w:numPr>
          <w:ilvl w:val="0"/>
          <w:numId w:val="1002"/>
        </w:numPr>
      </w:pPr>
      <w:r>
        <w:t xml:space="preserve">In Panama, the EU is supporting a joint project to achieve universal access to energy.</w:t>
      </w:r>
    </w:p>
    <w:p>
      <w:pPr>
        <w:pStyle w:val="Compact"/>
        <w:numPr>
          <w:ilvl w:val="0"/>
          <w:numId w:val="1002"/>
        </w:numPr>
      </w:pPr>
      <w:r>
        <w:t xml:space="preserve">In Chile, the EU has developed a Team Europe Initiative (TEI) on Green Hydrogen (GH2) to promote investment opportunities in green hydrogen.</w:t>
      </w:r>
    </w:p>
    <w:p>
      <w:pPr>
        <w:pStyle w:val="Compact"/>
        <w:numPr>
          <w:ilvl w:val="0"/>
          <w:numId w:val="1002"/>
        </w:numPr>
      </w:pPr>
      <w:r>
        <w:t xml:space="preserve">In Colombia, the EU is supporting the construction of a metro line.</w:t>
      </w:r>
    </w:p>
    <w:p>
      <w:pPr>
        <w:pStyle w:val="Compact"/>
        <w:numPr>
          <w:ilvl w:val="0"/>
          <w:numId w:val="1002"/>
        </w:numPr>
      </w:pPr>
      <w:r>
        <w:t xml:space="preserve">In Costa Rica, the EU is assisting with the electrification of public transport, including the conversion of the urban bus fleet to electric vehicles (40 public e-vehicles), contributing to a reduction of 5,000 CO2 kilotons per year.</w:t>
      </w:r>
    </w:p>
    <w:p>
      <w:pPr>
        <w:pStyle w:val="Compact"/>
        <w:numPr>
          <w:ilvl w:val="0"/>
          <w:numId w:val="1002"/>
        </w:numPr>
      </w:pPr>
      <w:r>
        <w:t xml:space="preserve">The EU is working with Latin American and Caribbean partners on Critical Raw Materials (such as lithium) in Argentina and Chile, and with the Critical Raw Materials Club to strengthen sustainable supply chains.</w:t>
      </w:r>
    </w:p>
    <w:p>
      <w:pPr>
        <w:pStyle w:val="Compact"/>
        <w:numPr>
          <w:ilvl w:val="0"/>
          <w:numId w:val="1002"/>
        </w:numPr>
      </w:pPr>
      <w:r>
        <w:t xml:space="preserve">The Team Europe Initiative ‘Brazil Tropical Forests’ has been established, with the EU also contributing to the Amazon Fund.</w:t>
      </w:r>
    </w:p>
    <w:p>
      <w:pPr>
        <w:pStyle w:val="Compact"/>
        <w:numPr>
          <w:ilvl w:val="0"/>
          <w:numId w:val="1002"/>
        </w:numPr>
      </w:pPr>
      <w:r>
        <w:t xml:space="preserve">The EU announced the new “Inclusive Societies” programme for Latin America and the Caribbean, with €60 million from the EU budget to tackle inequalities, reduce poverty, and enhance social inclusion and cohesion.</w:t>
      </w:r>
    </w:p>
    <w:p>
      <w:pPr>
        <w:pStyle w:val="Compact"/>
        <w:numPr>
          <w:ilvl w:val="0"/>
          <w:numId w:val="1002"/>
        </w:numPr>
      </w:pPr>
      <w:r>
        <w:t xml:space="preserve">The EU is preparing a Team Europe platform to enhance social cohesion and tackle inequalities in Latin America and the Caribbean.</w:t>
      </w:r>
    </w:p>
    <w:p>
      <w:pPr>
        <w:pStyle w:val="Compact"/>
        <w:numPr>
          <w:ilvl w:val="0"/>
          <w:numId w:val="1002"/>
        </w:numPr>
      </w:pPr>
      <w:r>
        <w:t xml:space="preserve">EU-LAC digital cooperation activities are underway, including the extension of the BELLA cable and the creation of two regional Copernicus centres for disaster risk reduction, climate change, and land and marine monitoring.</w:t>
      </w:r>
    </w:p>
    <w:p>
      <w:pPr>
        <w:pStyle w:val="Compact"/>
        <w:numPr>
          <w:ilvl w:val="0"/>
          <w:numId w:val="1002"/>
        </w:numPr>
      </w:pPr>
      <w:r>
        <w:t xml:space="preserve">The LAC-Global Green Bonds Initiative is fostering the development of the green bond market in Latin America and the Caribbean to mobilise capital for sustainable transition.</w:t>
      </w:r>
    </w:p>
    <w:p>
      <w:pPr>
        <w:pStyle w:val="Compact"/>
        <w:numPr>
          <w:ilvl w:val="0"/>
          <w:numId w:val="1002"/>
        </w:numPr>
      </w:pPr>
      <w:r>
        <w:t xml:space="preserve">The LAC-Health Resilience initiative is supporting the development of local medicines and vaccine manufacturing, as well as strengthening health systems resilience and regulatory frameworks.</w:t>
      </w:r>
    </w:p>
    <w:bookmarkEnd w:id="24"/>
    <w:bookmarkStart w:id="25" w:name="commitments"/>
    <w:p>
      <w:pPr>
        <w:pStyle w:val="Heading2"/>
      </w:pPr>
      <w:r>
        <w:t xml:space="preserve">Commitments</w:t>
      </w:r>
    </w:p>
    <w:p>
      <w:pPr>
        <w:pStyle w:val="Compact"/>
        <w:numPr>
          <w:ilvl w:val="0"/>
          <w:numId w:val="1003"/>
        </w:numPr>
      </w:pPr>
      <w:r>
        <w:t xml:space="preserve">Team Europe has committed over €45 billion to support the reinforced partnership with Latin America and the Caribbean until 2027.</w:t>
      </w:r>
    </w:p>
    <w:p>
      <w:pPr>
        <w:pStyle w:val="Compact"/>
        <w:numPr>
          <w:ilvl w:val="0"/>
          <w:numId w:val="1003"/>
        </w:numPr>
      </w:pPr>
      <w:r>
        <w:t xml:space="preserve">€60 million from the EU budget to be mobilised for the new EU programme “Inclusive Societies” for Latin America and the Caribbean.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2025-06-11T17:46:20Z</dcterms:created>
  <dcterms:modified xsi:type="dcterms:W3CDTF">2025-06-11T17:46:20Z</dcterms:modified>
</cp:coreProperties>
</file>

<file path=docProps/custom.xml><?xml version="1.0" encoding="utf-8"?>
<Properties xmlns="http://schemas.openxmlformats.org/officeDocument/2006/custom-properties" xmlns:vt="http://schemas.openxmlformats.org/officeDocument/2006/docPropsVTypes"/>
</file>