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992b2d95ca0cec6e408871e8766e9d0df9403e7"/>
    <w:p>
      <w:pPr>
        <w:pStyle w:val="Heading1"/>
      </w:pPr>
      <w:r>
        <w:t xml:space="preserve">Joint Declaration on a Digital Alliance between the European Union and Latin America and the Caribbean</w:t>
      </w:r>
    </w:p>
    <w:p>
      <w:pPr>
        <w:pStyle w:val="FirstParagraph"/>
      </w:pPr>
      <w:r>
        <w:rPr>
          <w:b/>
          <w:bCs/>
        </w:rPr>
        <w:t xml:space="preserve">Date</w:t>
      </w:r>
      <w:r>
        <w:t xml:space="preserve">: 2023-07-17</w:t>
      </w:r>
    </w:p>
    <w:p>
      <w:pPr>
        <w:pStyle w:val="BodyText"/>
      </w:pPr>
      <w:r>
        <w:rPr>
          <w:b/>
          <w:bCs/>
        </w:rPr>
        <w:t xml:space="preserve">Location</w:t>
      </w:r>
      <w:r>
        <w:t xml:space="preserve">: The most recent document is “EU-Latin_America_and_Caribbean__Joint_Declaration_on_a_Digital_Alliance.pdf” dated 17 July 2023. The document is a joint declaration between the European Union and multiple Latin American and Caribbean countries. While it lists many countries as participants, it does not specify a single city or country as the principal location of the event or signing.</w:t>
      </w:r>
    </w:p>
    <w:p>
      <w:pPr>
        <w:pStyle w:val="BodyText"/>
      </w:pPr>
      <w:r>
        <w:t xml:space="preserve">Therefore, the principal location is: null</w:t>
      </w:r>
    </w:p>
    <w:bookmarkStart w:id="20" w:name="executive-summary"/>
    <w:p>
      <w:pPr>
        <w:pStyle w:val="Heading2"/>
      </w:pPr>
      <w:r>
        <w:t xml:space="preserve">Executive Summary</w:t>
      </w:r>
    </w:p>
    <w:p>
      <w:pPr>
        <w:pStyle w:val="FirstParagraph"/>
      </w:pPr>
      <w:r>
        <w:t xml:space="preserve">The Joint Declaration on a Digital Alliance between the European Union (EU) and Latin America and the Caribbean (LAC), signed on 17 July 2023, establishes an informal, values-based framework for digital cooperation. Open to all LAC countries and EU Member States, the Alliance aims to foster bi-regional dialogue and collaboration on digital policy, infrastructure, cybersecurity, data protection, artificial intelligence, digital skills, and innovation. It supports ongoing initiatives such as the BELLA programme and Copernicus Centres, and will develop a bi-regional Investment Agenda under the Global Gateway initiative. The Alliance is grounded in a human-centric vision, emphasizing universal human rights, inclusion, and sustainability. It prioritizes closing digital divides, promoting digital literacy, and ensuring secure, meaningful connectivity. Implementation includes regular high-level dialogues, stakeholder engagement, and flagship projects to enhance connectivity, data infrastructure, and digital innovation, with annual progress reviews.</w:t>
      </w:r>
    </w:p>
    <w:bookmarkEnd w:id="20"/>
    <w:bookmarkStart w:id="21" w:name="characteristics"/>
    <w:p>
      <w:pPr>
        <w:pStyle w:val="Heading2"/>
      </w:pPr>
      <w:r>
        <w:t xml:space="preserve">Characteristics</w:t>
      </w:r>
    </w:p>
    <w:p>
      <w:pPr>
        <w:pStyle w:val="Compact"/>
        <w:numPr>
          <w:ilvl w:val="0"/>
          <w:numId w:val="1001"/>
        </w:numPr>
      </w:pPr>
      <w:r>
        <w:t xml:space="preserve">The EU-LAC Digital Alliance is an informal, values-based cooperation framework between the EU and Latin American and Caribbean (LAC) countries, open to all LAC countries and EU Member States, and involving governments, agencies, private sector, academia, and other stakeholders.</w:t>
      </w:r>
    </w:p>
    <w:p>
      <w:pPr>
        <w:pStyle w:val="Compact"/>
        <w:numPr>
          <w:ilvl w:val="0"/>
          <w:numId w:val="1001"/>
        </w:numPr>
      </w:pPr>
      <w:r>
        <w:t xml:space="preserve">It provides a forum for regular bi-regional dialogue and cooperation on digital matters, covering digital policy, internet and data governance, infrastructure, connectivity, cybersecurity, data protection, AI, skills, innovation, digital trade, and space-related activities.</w:t>
      </w:r>
    </w:p>
    <w:p>
      <w:pPr>
        <w:pStyle w:val="Compact"/>
        <w:numPr>
          <w:ilvl w:val="0"/>
          <w:numId w:val="1001"/>
        </w:numPr>
      </w:pPr>
      <w:r>
        <w:t xml:space="preserve">The Alliance is grounded in a human-centric vision, upholding universal human rights, rule of law, democracy, transparency, accountability, privacy, data protection, inclusion, security, and environmental sustainability.</w:t>
      </w:r>
    </w:p>
    <w:p>
      <w:pPr>
        <w:pStyle w:val="Compact"/>
        <w:numPr>
          <w:ilvl w:val="0"/>
          <w:numId w:val="1001"/>
        </w:numPr>
      </w:pPr>
      <w:r>
        <w:t xml:space="preserve">It aims to close digital divides, promote social cohesion, gender and racial equality, youth empowerment, and ensure universal, meaningful digital connectivity, with a focus on digital skills for all, especially women and girls.</w:t>
      </w:r>
    </w:p>
    <w:p>
      <w:pPr>
        <w:pStyle w:val="Compact"/>
        <w:numPr>
          <w:ilvl w:val="0"/>
          <w:numId w:val="1001"/>
        </w:numPr>
      </w:pPr>
      <w:r>
        <w:t xml:space="preserve">Implementation includes periodic high-level and technical dialogues, joint investment agendas (notably under the Global Gateway initiative), and flagship projects such as BELLA cable extension, Copernicus data centres, and an EU-LAC Digital Accelerator for joint innovation.</w:t>
      </w:r>
    </w:p>
    <w:p>
      <w:pPr>
        <w:pStyle w:val="Compact"/>
        <w:numPr>
          <w:ilvl w:val="0"/>
          <w:numId w:val="1001"/>
        </w:numPr>
      </w:pPr>
      <w:r>
        <w:t xml:space="preserve">The Alliance supports convergence of digital policy and regulatory frameworks, encourages knowledge transfer, and commits to annual progress reviews, adapting priorities to evolving needs and opportunities.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Governments</w:t>
            </w:r>
          </w:p>
        </w:tc>
      </w:tr>
      <w:tr>
        <w:tc>
          <w:tcPr/>
          <w:p>
            <w:pPr>
              <w:pStyle w:val="Compact"/>
            </w:pPr>
            <w:r>
              <w:t xml:space="preserve">Research and Innovation Actors</w:t>
            </w:r>
          </w:p>
        </w:tc>
        <w:tc>
          <w:tcPr/>
          <w:p>
            <w:pPr>
              <w:pStyle w:val="Compact"/>
            </w:pPr>
            <w:r>
              <w:t xml:space="preserve">EU-LAC Digital Alliance; Digital for Development Hub; Universities; Academic Institutions; Research Performing Organisations; LAC Space Agencies</w:t>
            </w:r>
          </w:p>
        </w:tc>
      </w:tr>
      <w:tr>
        <w:tc>
          <w:tcPr/>
          <w:p>
            <w:pPr>
              <w:pStyle w:val="Compact"/>
            </w:pPr>
            <w:r>
              <w:t xml:space="preserve">Economic Actors</w:t>
            </w:r>
          </w:p>
        </w:tc>
        <w:tc>
          <w:tcPr/>
          <w:p>
            <w:pPr>
              <w:pStyle w:val="Compact"/>
            </w:pPr>
            <w:r>
              <w:t xml:space="preserve">Private Sector Representatives; Digital Companies; ICT Companies; Telecommunication Companies; Development Bank of Latin America and the Caribbean</w:t>
            </w:r>
          </w:p>
        </w:tc>
      </w:tr>
      <w:tr>
        <w:tc>
          <w:tcPr/>
          <w:p>
            <w:pPr>
              <w:pStyle w:val="Compact"/>
            </w:pPr>
            <w:r>
              <w:t xml:space="preserve">Civil Society Actors</w:t>
            </w:r>
          </w:p>
        </w:tc>
        <w:tc>
          <w:tcPr/>
          <w:p>
            <w:pPr>
              <w:pStyle w:val="Compact"/>
            </w:pPr>
            <w:r>
              <w:t xml:space="preserve">Non-governmental Institutions; Civil Society Organisations; Digital Training and Education Providers; Digital Literacy Initiatives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EU-LAC Digital Alliance; Bi-regional Cooperation; Global Digital Cooperation; Digital &amp; Technological Partnerships</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Trade; Digital Policy; Digital Ecosystem; Digital Investment; Digital Regulation; Digital Transitions; Digital Skills Development; Digital Economy; Digital Sustainability</w:t>
            </w:r>
          </w:p>
        </w:tc>
      </w:tr>
      <w:tr>
        <w:tc>
          <w:tcPr/>
          <w:p>
            <w:pPr>
              <w:pStyle w:val="Compact"/>
            </w:pPr>
            <w:r>
              <w:t xml:space="preserve">Technology &amp; Innovation</w:t>
            </w:r>
          </w:p>
        </w:tc>
        <w:tc>
          <w:tcPr/>
          <w:p>
            <w:pPr>
              <w:pStyle w:val="Compact"/>
            </w:pPr>
            <w:r>
              <w:t xml:space="preserve">Artificial Intelligence; Tech-Driven Solutions; ICT Innovation; Cloud Computing; Innovation in Computing; High-Performance Computing</w:t>
            </w:r>
          </w:p>
        </w:tc>
      </w:tr>
      <w:tr>
        <w:tc>
          <w:tcPr/>
          <w:p>
            <w:pPr>
              <w:pStyle w:val="Compact"/>
            </w:pPr>
            <w:r>
              <w:t xml:space="preserve">Data &amp; Governance</w:t>
            </w:r>
          </w:p>
        </w:tc>
        <w:tc>
          <w:tcPr/>
          <w:p>
            <w:pPr>
              <w:pStyle w:val="Compact"/>
            </w:pPr>
            <w:r>
              <w:t xml:space="preserve">Data Governance; Digital Rights; Digital Governance; Data Protection; Cybersecurity; Digital Access; Digital Identity Management; Internet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bl>
    <w:bookmarkEnd w:id="23"/>
    <w:bookmarkStart w:id="24" w:name="practical-applications"/>
    <w:p>
      <w:pPr>
        <w:pStyle w:val="Heading2"/>
      </w:pPr>
      <w:r>
        <w:t xml:space="preserve">Practical Applications</w:t>
      </w:r>
    </w:p>
    <w:p>
      <w:pPr>
        <w:pStyle w:val="Compact"/>
        <w:numPr>
          <w:ilvl w:val="0"/>
          <w:numId w:val="1002"/>
        </w:numPr>
      </w:pPr>
      <w:r>
        <w:t xml:space="preserve">The BELLA programme: Ongoing EU-supported infrastructure in the LAC region, including the extension of the BELLA fibre-optic cable to interested countries to build secure digital backbone connectivity and connect research communities of the EU and LAC.</w:t>
      </w:r>
    </w:p>
    <w:p>
      <w:pPr>
        <w:pStyle w:val="Compact"/>
        <w:numPr>
          <w:ilvl w:val="0"/>
          <w:numId w:val="1002"/>
        </w:numPr>
      </w:pPr>
      <w:r>
        <w:t xml:space="preserve">Copernicus Centres: Implementation of a regional Copernicus Strategy, including the establishment of two regional Copernicus data centres in Panama and Chile.</w:t>
      </w:r>
    </w:p>
    <w:p>
      <w:pPr>
        <w:pStyle w:val="Compact"/>
        <w:numPr>
          <w:ilvl w:val="0"/>
          <w:numId w:val="1002"/>
        </w:numPr>
      </w:pPr>
      <w:r>
        <w:t xml:space="preserve">LAC Cyber Competence Centre: Active as part of the ongoing digital cooperation between the EU and LAC.</w:t>
      </w:r>
    </w:p>
    <w:p>
      <w:pPr>
        <w:pStyle w:val="Compact"/>
        <w:numPr>
          <w:ilvl w:val="0"/>
          <w:numId w:val="1002"/>
        </w:numPr>
      </w:pPr>
      <w:r>
        <w:t xml:space="preserve">EL PAcCTO programme: Ongoing projects on cybercrime in the LAC region.</w:t>
      </w:r>
    </w:p>
    <w:p>
      <w:pPr>
        <w:pStyle w:val="Compact"/>
        <w:numPr>
          <w:ilvl w:val="0"/>
          <w:numId w:val="1002"/>
        </w:numPr>
      </w:pPr>
      <w:r>
        <w:t xml:space="preserve">EU-LAC Digital Accelerator: Established to foster multi-stakeholder collaboration between EU and LAC corporations, SMEs, and innovative start-ups, with the objective to facilitate and accelerate at least 40 joint ventures for bi-regional innovation and digital transformation.</w:t>
      </w:r>
    </w:p>
    <w:p>
      <w:pPr>
        <w:pStyle w:val="Compact"/>
        <w:numPr>
          <w:ilvl w:val="0"/>
          <w:numId w:val="1002"/>
        </w:numPr>
      </w:pPr>
      <w:r>
        <w:t xml:space="preserve">Periodic High-Level Policy Dialogue and regulatory dialogue: Regular meetings at different levels, including technical meetings, to exchange information, identify joint priorities, and reinforce/converge digital policy and regulatory frameworks (including data protection, cybersecurity, interoperability, AI, and emerging technologies).</w:t>
      </w:r>
    </w:p>
    <w:p>
      <w:pPr>
        <w:pStyle w:val="Compact"/>
        <w:numPr>
          <w:ilvl w:val="0"/>
          <w:numId w:val="1002"/>
        </w:numPr>
      </w:pPr>
      <w:r>
        <w:t xml:space="preserve">Bi-regional Investment Agenda in the digital domain: Underpinned by the Global Gateway initiative and other funding sources, supporting digital projects agreed upon by the two regions.</w:t>
      </w:r>
    </w:p>
    <w:p>
      <w:pPr>
        <w:pStyle w:val="Compact"/>
        <w:numPr>
          <w:ilvl w:val="0"/>
          <w:numId w:val="1002"/>
        </w:numPr>
      </w:pPr>
      <w:r>
        <w:t xml:space="preserve">Regional framework for dialogue: Brings together national and regional regulatory entities to promote convergence of digital policy and closing of digital gaps.</w:t>
      </w:r>
    </w:p>
    <w:p>
      <w:pPr>
        <w:pStyle w:val="Compact"/>
        <w:numPr>
          <w:ilvl w:val="0"/>
          <w:numId w:val="1002"/>
        </w:numPr>
      </w:pPr>
      <w:r>
        <w:t xml:space="preserve">Participation of the LAC branch of the Digital4Development Hub: Ongoing involvement in the Alliance.</w:t>
      </w:r>
    </w:p>
    <w:p>
      <w:pPr>
        <w:pStyle w:val="Compact"/>
        <w:numPr>
          <w:ilvl w:val="0"/>
          <w:numId w:val="1002"/>
        </w:numPr>
      </w:pPr>
      <w:r>
        <w:t xml:space="preserve">Cooperation with the Latin American and Caribbean Space Agency (ALCE): The Alliance will explore and implement cooperation in space-related activities, including Copernicus Earth observation data and Galileo/EGNOS satellite navigation applications and services.</w:t>
      </w:r>
    </w:p>
    <w:bookmarkEnd w:id="24"/>
    <w:bookmarkStart w:id="25" w:name="commitments"/>
    <w:p>
      <w:pPr>
        <w:pStyle w:val="Heading2"/>
      </w:pPr>
      <w:r>
        <w:t xml:space="preserve">Commitments</w:t>
      </w:r>
    </w:p>
    <w:p>
      <w:pPr>
        <w:pStyle w:val="Compact"/>
        <w:numPr>
          <w:ilvl w:val="0"/>
          <w:numId w:val="1003"/>
        </w:numPr>
      </w:pPr>
      <w:r>
        <w:t xml:space="preserve">In 2023, cooperation will include the implementation of a regional Copernicus Strategy including two regional Copernicus data centres in Panama and Chile.</w:t>
      </w:r>
    </w:p>
    <w:p>
      <w:pPr>
        <w:pStyle w:val="Compact"/>
        <w:numPr>
          <w:ilvl w:val="0"/>
          <w:numId w:val="1003"/>
        </w:numPr>
      </w:pPr>
      <w:r>
        <w:t xml:space="preserve">In 2023, the establishment of an EU-LAC Digital Accelerator aiming to facilitate and accelerate at least 40 joint ventures for bi-regional innovation and digital transformation.</w:t>
      </w:r>
    </w:p>
    <w:p>
      <w:pPr>
        <w:pStyle w:val="Compact"/>
        <w:numPr>
          <w:ilvl w:val="0"/>
          <w:numId w:val="1003"/>
        </w:numPr>
      </w:pPr>
      <w:r>
        <w:t xml:space="preserve">The extension of the BELLA fibre-optic cable to interested countries in 2023. (Note: While the extension itself is a concrete action, no specific number of countries or length is provided.)</w:t>
      </w:r>
    </w:p>
    <w:p>
      <w:pPr>
        <w:pStyle w:val="Compact"/>
        <w:numPr>
          <w:ilvl w:val="0"/>
          <w:numId w:val="1003"/>
        </w:numPr>
      </w:pPr>
      <w:r>
        <w:t xml:space="preserve">Progress will be reviewed on an annual basis.</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2025-06-11T17:57:31Z</dcterms:created>
  <dcterms:modified xsi:type="dcterms:W3CDTF">2025-06-11T17:57:31Z</dcterms:modified>
</cp:coreProperties>
</file>

<file path=docProps/custom.xml><?xml version="1.0" encoding="utf-8"?>
<Properties xmlns="http://schemas.openxmlformats.org/officeDocument/2006/custom-properties" xmlns:vt="http://schemas.openxmlformats.org/officeDocument/2006/docPropsVTypes"/>
</file>