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8608b004127ede082ac4a5cba2addc7e3af2a26"/>
    <w:p>
      <w:pPr>
        <w:pStyle w:val="Heading1"/>
      </w:pPr>
      <w:r>
        <w:t xml:space="preserve">Amsterdam Declaration on Funding Research Software Sustainability (Draft v0.3, March 2023)</w:t>
      </w:r>
    </w:p>
    <w:p>
      <w:pPr>
        <w:pStyle w:val="FirstParagraph"/>
      </w:pPr>
      <w:r>
        <w:rPr>
          <w:b/>
          <w:bCs/>
        </w:rPr>
        <w:t xml:space="preserve">Date</w:t>
      </w:r>
      <w:r>
        <w:t xml:space="preserve">: 2023-03-17</w:t>
      </w:r>
    </w:p>
    <w:p>
      <w:pPr>
        <w:pStyle w:val="BodyText"/>
      </w:pPr>
      <w:r>
        <w:rPr>
          <w:b/>
          <w:bCs/>
        </w:rPr>
        <w:t xml:space="preserve">Location</w:t>
      </w:r>
      <w:r>
        <w:t xml:space="preserve">: Amsterdam, Netherlands</w:t>
      </w:r>
    </w:p>
    <w:bookmarkStart w:id="20" w:name="executive-summary"/>
    <w:p>
      <w:pPr>
        <w:pStyle w:val="Heading2"/>
      </w:pPr>
      <w:r>
        <w:t xml:space="preserve">Executive Summary</w:t>
      </w:r>
    </w:p>
    <w:p>
      <w:pPr>
        <w:pStyle w:val="FirstParagraph"/>
      </w:pPr>
      <w:r>
        <w:t xml:space="preserve">The Amsterdam Declaration on Funding Research Software Sustainability (March 2023, draft v0.3) highlights the critical role of research software and its developers in enabling reliable, reproducible, and impactful research across disciplines. It calls for global, coordinated action by funders to ensure the long-term sustainability of research software through improved funding policies, recognition, and support for the people and infrastructure involved. The Declaration outlines 12 key recommendations for funders, including promoting open-source practices, incentivizing reuse, integrating software into open science policies, supporting training and career progression, and considering ethical, environmental, and social impacts. The aim is to foster a healthy research software ecosystem by aligning funding instruments with both sustainability and innovation, and by encouraging collaboration across institutional and national boundaries. The Declaration is a first step toward formalizing global principles and best practices for funding research software sustainability.</w:t>
      </w:r>
    </w:p>
    <w:bookmarkEnd w:id="20"/>
    <w:bookmarkStart w:id="21" w:name="characteristics"/>
    <w:p>
      <w:pPr>
        <w:pStyle w:val="Heading2"/>
      </w:pPr>
      <w:r>
        <w:t xml:space="preserve">Characteristics</w:t>
      </w:r>
    </w:p>
    <w:p>
      <w:pPr>
        <w:pStyle w:val="Compact"/>
        <w:numPr>
          <w:ilvl w:val="0"/>
          <w:numId w:val="1001"/>
        </w:numPr>
      </w:pPr>
      <w:r>
        <w:t xml:space="preserve">Emphasises the critical role of research software and its developers in ensuring reliable, accessible, and reproducible research outcomes across all disciplines.</w:t>
      </w:r>
    </w:p>
    <w:p>
      <w:pPr>
        <w:pStyle w:val="Compact"/>
        <w:numPr>
          <w:ilvl w:val="0"/>
          <w:numId w:val="1001"/>
        </w:numPr>
      </w:pPr>
      <w:r>
        <w:t xml:space="preserve">Advocates for the sustainability of research software through integration into the research process, long-term funding, and recognition of the people involved.</w:t>
      </w:r>
    </w:p>
    <w:p>
      <w:pPr>
        <w:pStyle w:val="Compact"/>
        <w:numPr>
          <w:ilvl w:val="0"/>
          <w:numId w:val="1001"/>
        </w:numPr>
      </w:pPr>
      <w:r>
        <w:t xml:space="preserve">Recommends funders stimulate documentation, licensing, open-source distribution, reuse, and improvement of research software, and include it in open science policies.</w:t>
      </w:r>
    </w:p>
    <w:p>
      <w:pPr>
        <w:pStyle w:val="Compact"/>
        <w:numPr>
          <w:ilvl w:val="0"/>
          <w:numId w:val="1001"/>
        </w:numPr>
      </w:pPr>
      <w:r>
        <w:t xml:space="preserve">Calls for coordinated, global efforts among funders (public, private, philanthropic) to support research software ecosystems, including infrastructure, communities, and personnel.</w:t>
      </w:r>
    </w:p>
    <w:p>
      <w:pPr>
        <w:pStyle w:val="Compact"/>
        <w:numPr>
          <w:ilvl w:val="0"/>
          <w:numId w:val="1001"/>
        </w:numPr>
      </w:pPr>
      <w:r>
        <w:t xml:space="preserve">Stresses the importance of training, hiring, and rewarding research software professionals, and recognising software as a research output in its own right.</w:t>
      </w:r>
    </w:p>
    <w:p>
      <w:pPr>
        <w:pStyle w:val="Compact"/>
        <w:numPr>
          <w:ilvl w:val="0"/>
          <w:numId w:val="1001"/>
        </w:numPr>
      </w:pPr>
      <w:r>
        <w:t xml:space="preserve">Encourages ethical considerations, including responsible indicators for software impact, environmental and social impacts, and diversity, equity, and inclusion in research software sustainability.</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Research and Innovation Actors</w:t>
            </w:r>
          </w:p>
        </w:tc>
        <w:tc>
          <w:tcPr/>
          <w:p>
            <w:pPr>
              <w:pStyle w:val="Compact"/>
            </w:pPr>
            <w:r>
              <w:t xml:space="preserve">Research Software Alliance; Universities; Research Performing Organisations; Academic Institutions; Researchers</w:t>
            </w:r>
          </w:p>
        </w:tc>
      </w:tr>
      <w:tr>
        <w:tc>
          <w:tcPr/>
          <w:p>
            <w:pPr>
              <w:pStyle w:val="Compact"/>
            </w:pPr>
            <w:r>
              <w:t xml:space="preserve">Economic Actors</w:t>
            </w:r>
          </w:p>
        </w:tc>
        <w:tc>
          <w:tcPr/>
          <w:p>
            <w:pPr>
              <w:pStyle w:val="Compact"/>
            </w:pPr>
            <w:r>
              <w:t xml:space="preserve">Research Funding Organisations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Digital Transformation &amp; Strategy</w:t>
            </w:r>
          </w:p>
        </w:tc>
        <w:tc>
          <w:tcPr/>
          <w:p>
            <w:pPr>
              <w:pStyle w:val="Compact"/>
            </w:pPr>
            <w:r>
              <w:t xml:space="preserve">Digital Infrastructure; Digital Investment; Digital Ecosystem; Digital Policy; Digital Sustainability; Digital Skills Development; Digital Research</w:t>
            </w:r>
          </w:p>
        </w:tc>
      </w:tr>
      <w:tr>
        <w:tc>
          <w:tcPr/>
          <w:p>
            <w:pPr>
              <w:pStyle w:val="Compact"/>
            </w:pPr>
            <w:r>
              <w:t xml:space="preserve">Technology &amp; Innovation</w:t>
            </w:r>
          </w:p>
        </w:tc>
        <w:tc>
          <w:tcPr/>
          <w:p>
            <w:pPr>
              <w:pStyle w:val="Compact"/>
            </w:pPr>
            <w:r>
              <w:t xml:space="preserve">Tech-Driven Solutions; ICT Innovation; Innovation in Computing</w:t>
            </w:r>
          </w:p>
        </w:tc>
      </w:tr>
      <w:tr>
        <w:tc>
          <w:tcPr/>
          <w:p>
            <w:pPr>
              <w:pStyle w:val="Compact"/>
            </w:pPr>
            <w:r>
              <w:t xml:space="preserve">Data &amp; Governance</w:t>
            </w:r>
          </w:p>
        </w:tc>
        <w:tc>
          <w:tcPr/>
          <w:p>
            <w:pPr>
              <w:pStyle w:val="Compact"/>
            </w:pPr>
            <w:r>
              <w:t xml:space="preserve">Data Governance; Digital Governance; Digital Ethics</w:t>
            </w:r>
          </w:p>
        </w:tc>
      </w:tr>
      <w:tr>
        <w:tc>
          <w:tcPr/>
          <w:p>
            <w:pPr>
              <w:pStyle w:val="Compact"/>
            </w:pPr>
            <w:r>
              <w:t xml:space="preserve">Regional &amp; International Cooperation</w:t>
            </w:r>
          </w:p>
        </w:tc>
        <w:tc>
          <w:tcPr/>
          <w:p>
            <w:pPr>
              <w:pStyle w:val="Compact"/>
            </w:pPr>
            <w:r>
              <w:t xml:space="preserve">Global Digital Cooperation; Digital &amp; Technological Partnerships</w:t>
            </w:r>
          </w:p>
        </w:tc>
      </w:tr>
      <w:tr>
        <w:tc>
          <w:tcPr/>
          <w:p>
            <w:pPr>
              <w:pStyle w:val="Compact"/>
            </w:pPr>
            <w:r>
              <w:t xml:space="preserve">Inclusion &amp; Social Development</w:t>
            </w:r>
          </w:p>
        </w:tc>
        <w:tc>
          <w:tcPr/>
          <w:p>
            <w:pPr>
              <w:pStyle w:val="Compact"/>
            </w:pPr>
            <w:r>
              <w:t xml:space="preserve">Digital Inclusion; Sustainable Digital Development</w:t>
            </w:r>
          </w:p>
        </w:tc>
      </w:tr>
    </w:tbl>
    <w:bookmarkEnd w:id="23"/>
    <w:bookmarkStart w:id="24" w:name="practical-applications"/>
    <w:p>
      <w:pPr>
        <w:pStyle w:val="Heading2"/>
      </w:pPr>
      <w:r>
        <w:t xml:space="preserve">Practical Applications</w:t>
      </w:r>
    </w:p>
    <w:p>
      <w:pPr>
        <w:pStyle w:val="FirstParagraph"/>
      </w:pPr>
      <w:r>
        <w:t xml:space="preserve">No existing practical applications or implementations identified.</w:t>
      </w:r>
    </w:p>
    <w:bookmarkEnd w:id="24"/>
    <w:bookmarkStart w:id="25" w:name="commitments"/>
    <w:p>
      <w:pPr>
        <w:pStyle w:val="Heading2"/>
      </w:pPr>
      <w:r>
        <w:t xml:space="preserve">Commitments</w:t>
      </w:r>
    </w:p>
    <w:p>
      <w:pPr>
        <w:pStyle w:val="FirstParagraph"/>
      </w:pPr>
      <w:r>
        <w:t xml:space="preserve">No specific quantifiable commitments or targets identified.</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2025-06-11T18:20:55Z</dcterms:created>
  <dcterms:modified xsi:type="dcterms:W3CDTF">2025-06-11T18:20:55Z</dcterms:modified>
</cp:coreProperties>
</file>

<file path=docProps/custom.xml><?xml version="1.0" encoding="utf-8"?>
<Properties xmlns="http://schemas.openxmlformats.org/officeDocument/2006/custom-properties" xmlns:vt="http://schemas.openxmlformats.org/officeDocument/2006/docPropsVTypes"/>
</file>