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f2a716db2cc092f8719f596de2d81b04172bd21"/>
    <w:p>
      <w:pPr>
        <w:pStyle w:val="Heading1"/>
      </w:pPr>
      <w:r>
        <w:t xml:space="preserve">European Industrial Technology Roadmap for the Next-Generation Cloud-Edge and Telco Cloud Thematic Roadmap</w:t>
      </w:r>
    </w:p>
    <w:p>
      <w:pPr>
        <w:pStyle w:val="FirstParagraph"/>
      </w:pPr>
      <w:r>
        <w:rPr>
          <w:b/>
          <w:bCs/>
        </w:rPr>
        <w:t xml:space="preserve">Date</w:t>
      </w:r>
      <w:r>
        <w:t xml:space="preserve">: 2024-07-10</w:t>
      </w:r>
    </w:p>
    <w:p>
      <w:pPr>
        <w:pStyle w:val="BodyText"/>
      </w:pPr>
      <w:r>
        <w:rPr>
          <w:b/>
          <w:bCs/>
        </w:rPr>
        <w:t xml:space="preserve">Location</w:t>
      </w:r>
      <w:r>
        <w:t xml:space="preserve">: Brussels, Belgium</w:t>
      </w:r>
    </w:p>
    <w:bookmarkStart w:id="20" w:name="executive-summary"/>
    <w:p>
      <w:pPr>
        <w:pStyle w:val="Heading2"/>
      </w:pPr>
      <w:r>
        <w:t xml:space="preserve">Executive Summary</w:t>
      </w:r>
    </w:p>
    <w:p>
      <w:pPr>
        <w:pStyle w:val="FirstParagraph"/>
      </w:pPr>
      <w:r>
        <w:t xml:space="preserve">The European Industrial Technology Roadmap for the Next-Generation Cloud-Edge, updated in 2023 and complemented by the 2024 Telco Cloud Thematic Roadmap, outlines strategic priorities for advancing Europe’s cloud and edge computing capabilities. The roadmap emphasizes the need for secure, interoperable, and climate-neutral infrastructures to support digital sovereignty, competitiveness, and sector-specific innovation. Key recommendations include investment in open standards, open source reference implementations, multi-provider federation, and regulatory alignment to foster a robust, sovereign digital ecosystem. The Telco Cloud Thematic Roadmap specifically addresses the convergence of network and computing infrastructures in telecommunications, identifying challenges and proposing targeted investments to ensure Europe’s digital infrastructure meets future demands. Together, these roadmaps provide a comprehensive framework for guiding public and private stakeholders in building next-generation European cloud-edge and telco cloud environments.</w:t>
      </w:r>
    </w:p>
    <w:bookmarkEnd w:id="20"/>
    <w:bookmarkStart w:id="21" w:name="characteristics"/>
    <w:p>
      <w:pPr>
        <w:pStyle w:val="Heading2"/>
      </w:pPr>
      <w:r>
        <w:t xml:space="preserve">Characteristics</w:t>
      </w:r>
    </w:p>
    <w:p>
      <w:pPr>
        <w:pStyle w:val="Compact"/>
        <w:numPr>
          <w:ilvl w:val="0"/>
          <w:numId w:val="1001"/>
        </w:numPr>
      </w:pPr>
      <w:r>
        <w:t xml:space="preserve">The Telco Cloud Thematic Roadmap (July 2024) is a targeted initiative from the European Alliance for Industrial Data, Edge and Cloud, focusing on the convergence of network and computing infrastructures within the telecommunications sector (“Telco Clouds”).</w:t>
      </w:r>
    </w:p>
    <w:p>
      <w:pPr>
        <w:pStyle w:val="Compact"/>
        <w:numPr>
          <w:ilvl w:val="0"/>
          <w:numId w:val="1001"/>
        </w:numPr>
      </w:pPr>
      <w:r>
        <w:t xml:space="preserve">It builds on the 2023 updated cloud-edge strategic industrial roadmap, with continued collaboration among European cloud and edge industry stakeholders to identify investment priorities for next-generation cloud and edge technologies.</w:t>
      </w:r>
    </w:p>
    <w:p>
      <w:pPr>
        <w:pStyle w:val="Compact"/>
        <w:numPr>
          <w:ilvl w:val="0"/>
          <w:numId w:val="1001"/>
        </w:numPr>
      </w:pPr>
      <w:r>
        <w:t xml:space="preserve">The roadmap analyses the telecommunications industry’s landscape, highlighting challenges and providing recommendations for integrating emerging edge and cloud computing environments with telecom networks.</w:t>
      </w:r>
    </w:p>
    <w:p>
      <w:pPr>
        <w:pStyle w:val="Compact"/>
        <w:numPr>
          <w:ilvl w:val="0"/>
          <w:numId w:val="1001"/>
        </w:numPr>
      </w:pPr>
      <w:r>
        <w:t xml:space="preserve">It serves as a strategic guide for the future development of European digital infrastructures, aligning with broader policy objectives such as those outlined in the White Paper</w:t>
      </w:r>
      <w:r>
        <w:t xml:space="preserve"> </w:t>
      </w:r>
      <w:r>
        <w:t xml:space="preserve">‘How to Master Europe’s Digital Infrastructure Needs?’</w:t>
      </w:r>
    </w:p>
    <w:p>
      <w:pPr>
        <w:pStyle w:val="Compact"/>
        <w:numPr>
          <w:ilvl w:val="0"/>
          <w:numId w:val="1001"/>
        </w:numPr>
      </w:pPr>
      <w:r>
        <w:t xml:space="preserve">The document is recognized and welcomed by the European Commission as a timely and insightful contribution to shaping Europe’s digital future, particularly in the context of advanced and cloud computing for telecoms.</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Union; EU Member States; European Council; European Commission</w:t>
            </w:r>
          </w:p>
        </w:tc>
      </w:tr>
      <w:tr>
        <w:tc>
          <w:tcPr/>
          <w:p>
            <w:pPr>
              <w:pStyle w:val="Compact"/>
            </w:pPr>
            <w:r>
              <w:t xml:space="preserve">Research and Innovation Actors</w:t>
            </w:r>
          </w:p>
        </w:tc>
        <w:tc>
          <w:tcPr/>
          <w:p>
            <w:pPr>
              <w:pStyle w:val="Compact"/>
            </w:pPr>
            <w:r>
              <w:t xml:space="preserve">Universities; Technology Organisations; Research Performing Organisations; Academic Institutions; Knowledge and Innovation Communities; Digital Innovation Hubs; Researchers; Innovators; European Institute of Innovation and Technology</w:t>
            </w:r>
          </w:p>
        </w:tc>
      </w:tr>
      <w:tr>
        <w:tc>
          <w:tcPr/>
          <w:p>
            <w:pPr>
              <w:pStyle w:val="Compact"/>
            </w:pPr>
            <w:r>
              <w:t xml:space="preserve">Economic Actors</w:t>
            </w:r>
          </w:p>
        </w:tc>
        <w:tc>
          <w:tcPr/>
          <w:p>
            <w:pPr>
              <w:pStyle w:val="Compact"/>
            </w:pPr>
            <w:r>
              <w:t xml:space="preserve">Industry Actors; Private Sector Representatives; Digital Companies; ICT Companies; Telecommunication Companies; Research Funding Organisations</w:t>
            </w:r>
          </w:p>
        </w:tc>
      </w:tr>
      <w:tr>
        <w:tc>
          <w:tcPr/>
          <w:p>
            <w:pPr>
              <w:pStyle w:val="Compact"/>
            </w:pPr>
            <w:r>
              <w:t xml:space="preserve">Civil Society Actors</w:t>
            </w:r>
          </w:p>
        </w:tc>
        <w:tc>
          <w:tcPr/>
          <w:p>
            <w:pPr>
              <w:pStyle w:val="Compact"/>
            </w:pPr>
            <w:r>
              <w:t xml:space="preserve">Technology Providers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Technology &amp; Innovation</w:t>
            </w:r>
          </w:p>
        </w:tc>
        <w:tc>
          <w:tcPr/>
          <w:p>
            <w:pPr>
              <w:pStyle w:val="Compact"/>
            </w:pPr>
            <w:r>
              <w:t xml:space="preserve">Cloud Computing; ICT Innovation</w:t>
            </w:r>
          </w:p>
        </w:tc>
      </w:tr>
      <w:tr>
        <w:tc>
          <w:tcPr/>
          <w:p>
            <w:pPr>
              <w:pStyle w:val="Compact"/>
            </w:pPr>
            <w:r>
              <w:t xml:space="preserve">Digital Transformation &amp; Strategy</w:t>
            </w:r>
          </w:p>
        </w:tc>
        <w:tc>
          <w:tcPr/>
          <w:p>
            <w:pPr>
              <w:pStyle w:val="Compact"/>
            </w:pPr>
            <w:r>
              <w:t xml:space="preserve">Digital Infrastructure; Digital Policy</w:t>
            </w:r>
          </w:p>
        </w:tc>
      </w:tr>
    </w:tbl>
    <w:bookmarkEnd w:id="23"/>
    <w:bookmarkStart w:id="24" w:name="practical-applications"/>
    <w:p>
      <w:pPr>
        <w:pStyle w:val="Heading2"/>
      </w:pPr>
      <w:r>
        <w:t xml:space="preserve">Practical Applications</w:t>
      </w:r>
    </w:p>
    <w:p>
      <w:pPr>
        <w:pStyle w:val="Compact"/>
        <w:numPr>
          <w:ilvl w:val="0"/>
          <w:numId w:val="1002"/>
        </w:numPr>
      </w:pPr>
      <w:r>
        <w:t xml:space="preserve">The European Alliance for Industrial Data, Edge and Cloud, launched in July 2021, brings together businesses, Member States’ representatives, and experts to define strategic investment roadmaps for next-generation cloud and edge technologies, with facilitation by the European Commission’s DG CNECT.</w:t>
      </w:r>
    </w:p>
    <w:p>
      <w:pPr>
        <w:pStyle w:val="Compact"/>
        <w:numPr>
          <w:ilvl w:val="0"/>
          <w:numId w:val="1002"/>
        </w:numPr>
      </w:pPr>
      <w:r>
        <w:t xml:space="preserve">The Important Projects of Common European Interest on Next-Generation Cloud Infrastructure and Services (IPCEI-CIS) is actively supporting innovations for the edge-to-cloud continuum, aiming for fast go-live of solutions and spill-over effects to SMEs across Europe.</w:t>
      </w:r>
    </w:p>
    <w:p>
      <w:pPr>
        <w:pStyle w:val="Compact"/>
        <w:numPr>
          <w:ilvl w:val="0"/>
          <w:numId w:val="1002"/>
        </w:numPr>
      </w:pPr>
      <w:r>
        <w:t xml:space="preserve">Major European initiatives and projects such as Catena-X (automotive data space), Manufacturing-X, Smart Connected Supplier Network (SCSN), and EONA-X are operational, creating data spaces and sharing data between providers, with support from European Alliances and partial EU funding.</w:t>
      </w:r>
    </w:p>
    <w:p>
      <w:pPr>
        <w:pStyle w:val="Compact"/>
        <w:numPr>
          <w:ilvl w:val="0"/>
          <w:numId w:val="1002"/>
        </w:numPr>
      </w:pPr>
      <w:r>
        <w:t xml:space="preserve">The Data Spaces Support Centre (DSSC) project is operational, jointly run by European AI, data spaces, and infrastructure associations, to create building blocks for technology and business topics in data spaces.</w:t>
      </w:r>
    </w:p>
    <w:p>
      <w:pPr>
        <w:pStyle w:val="Compact"/>
        <w:numPr>
          <w:ilvl w:val="0"/>
          <w:numId w:val="1002"/>
        </w:numPr>
      </w:pPr>
      <w:r>
        <w:t xml:space="preserve">The European Commission’s Code of Conduct for Energy Efficiency in Data Centres is an active initiative, with annual updates and participation from operators, owners, and vendors, aiming to reduce energy consumption and environmental impact.</w:t>
      </w:r>
    </w:p>
    <w:p>
      <w:pPr>
        <w:pStyle w:val="Compact"/>
        <w:numPr>
          <w:ilvl w:val="0"/>
          <w:numId w:val="1002"/>
        </w:numPr>
      </w:pPr>
      <w:r>
        <w:t xml:space="preserve">The Climate Neutral Data Centre Pact is a self-regulatory industry initiative targeting climate neutrality for data centres in Europe by 2030, aligned with the European Green Deal.</w:t>
      </w:r>
    </w:p>
    <w:p>
      <w:pPr>
        <w:pStyle w:val="Compact"/>
        <w:numPr>
          <w:ilvl w:val="0"/>
          <w:numId w:val="1002"/>
        </w:numPr>
      </w:pPr>
      <w:r>
        <w:t xml:space="preserve">The European Green Digital Coalition is an ongoing initiative to support the digital sector’s contribution to sustainability and climate goals.</w:t>
      </w:r>
    </w:p>
    <w:p>
      <w:pPr>
        <w:pStyle w:val="Compact"/>
        <w:numPr>
          <w:ilvl w:val="0"/>
          <w:numId w:val="1002"/>
        </w:numPr>
      </w:pPr>
      <w:r>
        <w:t xml:space="preserve">The European Open Science Cloud (EOSC) is operational, providing a federated environment for scientific research data sharing and services.</w:t>
      </w:r>
    </w:p>
    <w:p>
      <w:pPr>
        <w:pStyle w:val="Compact"/>
        <w:numPr>
          <w:ilvl w:val="0"/>
          <w:numId w:val="1002"/>
        </w:numPr>
      </w:pPr>
      <w:r>
        <w:t xml:space="preserve">Gaia-X is an active federated data infrastructure initiative, involving industry, government, and RTOs, to promote data sovereignty and interoperability.</w:t>
      </w:r>
    </w:p>
    <w:p>
      <w:pPr>
        <w:pStyle w:val="Compact"/>
        <w:numPr>
          <w:ilvl w:val="0"/>
          <w:numId w:val="1002"/>
        </w:numPr>
      </w:pPr>
      <w:r>
        <w:t xml:space="preserve">The Linux Foundation Europe and the Eclipse Foundation (Brussels-based) are established as key open source communities supporting edge and cloud technologies, with dedicated working groups (e.g., LF Edge, Edge Native Working Group).</w:t>
      </w:r>
    </w:p>
    <w:p>
      <w:pPr>
        <w:pStyle w:val="Compact"/>
        <w:numPr>
          <w:ilvl w:val="0"/>
          <w:numId w:val="1002"/>
        </w:numPr>
      </w:pPr>
      <w:r>
        <w:t xml:space="preserve">The O-RAN Alliance and the Open Compute Project (OCP) are active in developing open standards and reference implementations for telecommunications and data centre hardware.</w:t>
      </w:r>
    </w:p>
    <w:p>
      <w:pPr>
        <w:pStyle w:val="Compact"/>
        <w:numPr>
          <w:ilvl w:val="0"/>
          <w:numId w:val="1002"/>
        </w:numPr>
      </w:pPr>
      <w:r>
        <w:t xml:space="preserve">The European Blockchain Services Infrastructure (EBSI) is a market-friendly distributed blockchain network based on open standards and transparent governance, supporting cross-border public administration services.</w:t>
      </w:r>
    </w:p>
    <w:p>
      <w:pPr>
        <w:pStyle w:val="Compact"/>
        <w:numPr>
          <w:ilvl w:val="0"/>
          <w:numId w:val="1002"/>
        </w:numPr>
      </w:pPr>
      <w:r>
        <w:t xml:space="preserve">The European Commission is investing in the development and implementation of an open source smart middleware, Simpl, to enable cloud-to-edge federations and support major data initiatives, including common European data spaces.</w:t>
      </w:r>
    </w:p>
    <w:p>
      <w:pPr>
        <w:pStyle w:val="Compact"/>
        <w:numPr>
          <w:ilvl w:val="0"/>
          <w:numId w:val="1002"/>
        </w:numPr>
      </w:pPr>
      <w:r>
        <w:t xml:space="preserve">The European Data Act and other regulatory frameworks (e.g., GDPR, DSA, DMA) are being implemented to ensure data sovereignty, fair access, and interoperability across the EU.</w:t>
      </w:r>
    </w:p>
    <w:p>
      <w:pPr>
        <w:pStyle w:val="Compact"/>
        <w:numPr>
          <w:ilvl w:val="0"/>
          <w:numId w:val="1002"/>
        </w:numPr>
      </w:pPr>
      <w:r>
        <w:t xml:space="preserve">The European Commission supports the establishment of open hardware ecosystems (e.g., through open19, TIP, RISC-V, and Balthazar projects) and local manufacturing initiatives for IT equipment, including PCB printing and 3D manufacturing.</w:t>
      </w:r>
    </w:p>
    <w:p>
      <w:pPr>
        <w:pStyle w:val="Compact"/>
        <w:numPr>
          <w:ilvl w:val="0"/>
          <w:numId w:val="1002"/>
        </w:numPr>
      </w:pPr>
      <w:r>
        <w:t xml:space="preserve">The European Alliance for Industrial Data, Edge and Cloud has delivered the Telco Cloud Thematic Roadmap (July 2024), focusing on converged network and computing infrastructures for the telecom sector, as part of ongoing cooperation with the European Commission.</w:t>
      </w:r>
    </w:p>
    <w:p>
      <w:pPr>
        <w:pStyle w:val="Compact"/>
        <w:numPr>
          <w:ilvl w:val="0"/>
          <w:numId w:val="1002"/>
        </w:numPr>
      </w:pPr>
      <w:r>
        <w:t xml:space="preserve">The European Commission’s Open Source Software Strategy 2020-2023 is in effect, promoting open source adoption and the creation of a European Competence Centre for Open Source.</w:t>
      </w:r>
    </w:p>
    <w:p>
      <w:pPr>
        <w:pStyle w:val="Compact"/>
        <w:numPr>
          <w:ilvl w:val="0"/>
          <w:numId w:val="1002"/>
        </w:numPr>
      </w:pPr>
      <w:r>
        <w:t xml:space="preserve">The Data-Sharing Business Models are being piloted in real projects such as Catena-X, SCSN, and EONA-X, using open standards and open source software like the Asset Administration Shell (AAS) and Eclipse Data Components.</w:t>
      </w:r>
    </w:p>
    <w:p>
      <w:pPr>
        <w:pStyle w:val="Compact"/>
        <w:numPr>
          <w:ilvl w:val="0"/>
          <w:numId w:val="1002"/>
        </w:numPr>
      </w:pPr>
      <w:r>
        <w:t xml:space="preserve">The European Commission’s Directorate-General for Communications Networks, Content and Technology (DG CNECT) is actively facilitating the work of the Cloud-Edge Working Group and related task forces.</w:t>
      </w:r>
    </w:p>
    <w:p>
      <w:pPr>
        <w:pStyle w:val="Compact"/>
        <w:numPr>
          <w:ilvl w:val="0"/>
          <w:numId w:val="1002"/>
        </w:numPr>
      </w:pPr>
      <w:r>
        <w:t xml:space="preserve">The European Code of Conduct for Energy Efficiency in Data Centres is included in the EU Taxonomy Delegated Act Technical Annex, making it part of the regulatory compliance framework for sustainability.</w:t>
      </w:r>
    </w:p>
    <w:p>
      <w:pPr>
        <w:pStyle w:val="Compact"/>
        <w:numPr>
          <w:ilvl w:val="0"/>
          <w:numId w:val="1002"/>
        </w:numPr>
      </w:pPr>
      <w:r>
        <w:t xml:space="preserve">The European Commission is funding and supporting the development of reference testbeds for edge-to-cloud continuum deployment, as part of the IPCEI-CIS and related macro-projects (e.g., ORECI).</w:t>
      </w:r>
    </w:p>
    <w:p>
      <w:pPr>
        <w:pStyle w:val="Compact"/>
        <w:numPr>
          <w:ilvl w:val="0"/>
          <w:numId w:val="1002"/>
        </w:numPr>
      </w:pPr>
      <w:r>
        <w:t xml:space="preserve">The European Commission is supporting the development of federated cloud marketplaces, providing certified catalogues of applications and infrastructure from providers compliant with European regulation.</w:t>
      </w:r>
    </w:p>
    <w:p>
      <w:pPr>
        <w:pStyle w:val="Compact"/>
        <w:numPr>
          <w:ilvl w:val="0"/>
          <w:numId w:val="1002"/>
        </w:numPr>
      </w:pPr>
      <w:r>
        <w:t xml:space="preserve">The European Commission is supporting the development and adoption of open standards and APIs for cloud infrastructure services, with active participation in global standardisation bodies and industry consortia (e.g., GSMA, TM Forum, Linux Foundation, CAMARA project).</w:t>
      </w:r>
    </w:p>
    <w:p>
      <w:pPr>
        <w:pStyle w:val="Compact"/>
        <w:numPr>
          <w:ilvl w:val="0"/>
          <w:numId w:val="1002"/>
        </w:numPr>
      </w:pPr>
      <w:r>
        <w:t xml:space="preserve">The European Commission is supporting the development of NaaS (Network-as-a-Service) platforms and APIs, with standardisation efforts in GSMA, Linux Foundation, and TM Forum, to enable dynamic, on-demand network capabilities for edge and cloud applications.</w:t>
      </w:r>
    </w:p>
    <w:p>
      <w:pPr>
        <w:pStyle w:val="Compact"/>
        <w:numPr>
          <w:ilvl w:val="0"/>
          <w:numId w:val="1002"/>
        </w:numPr>
      </w:pPr>
      <w:r>
        <w:t xml:space="preserve">The European Commission is supporting the deployment of sustainable transport network technologies and automation in the telecom sector, with projects like MUST and OOPT under the Telecom Infra Project (TIP).</w:t>
      </w:r>
    </w:p>
    <w:p>
      <w:pPr>
        <w:pStyle w:val="Compact"/>
        <w:numPr>
          <w:ilvl w:val="0"/>
          <w:numId w:val="1002"/>
        </w:numPr>
      </w:pPr>
      <w:r>
        <w:t xml:space="preserve">The European Commission is supporting the development and deployment of edge infrastructure to support the network evolution to cloud-native, leveraging the strengths of European telecom vendors and operators.</w:t>
      </w:r>
    </w:p>
    <w:p>
      <w:pPr>
        <w:pStyle w:val="Compact"/>
        <w:numPr>
          <w:ilvl w:val="0"/>
          <w:numId w:val="1002"/>
        </w:numPr>
      </w:pPr>
      <w:r>
        <w:t xml:space="preserve">The European Commission is supporting the development of open source serverless platforms and guidelines for cost transparency, to reduce lock-in and promote portability across the edge-to-cloud continuum.</w:t>
      </w:r>
    </w:p>
    <w:p>
      <w:pPr>
        <w:pStyle w:val="Compact"/>
        <w:numPr>
          <w:ilvl w:val="0"/>
          <w:numId w:val="1002"/>
        </w:numPr>
      </w:pPr>
      <w:r>
        <w:t xml:space="preserve">The European Commission is supporting the development of cross-industry data decarbonisation platforms and data spaces, building on initiatives like GAIA-X, IDSA, Catena-X, FIWARE, and BDVA.</w:t>
      </w:r>
    </w:p>
    <w:p>
      <w:pPr>
        <w:pStyle w:val="Compact"/>
        <w:numPr>
          <w:ilvl w:val="0"/>
          <w:numId w:val="1002"/>
        </w:numPr>
      </w:pPr>
      <w:r>
        <w:t xml:space="preserve">The European Commission is supporting the development of quantum computing services and networks, with MoUs and pilot projects (e.g., Milan quantum network initiative).</w:t>
      </w:r>
    </w:p>
    <w:p>
      <w:pPr>
        <w:pStyle w:val="Compact"/>
        <w:numPr>
          <w:ilvl w:val="0"/>
          <w:numId w:val="1002"/>
        </w:numPr>
      </w:pPr>
      <w:r>
        <w:t xml:space="preserve">The European Commission is supporting the development of European blockchain services, following the EBSI model, with core services layers and standardised APIs for cross-border use cases.</w:t>
      </w:r>
    </w:p>
    <w:bookmarkEnd w:id="24"/>
    <w:bookmarkStart w:id="25" w:name="commitments"/>
    <w:p>
      <w:pPr>
        <w:pStyle w:val="Heading2"/>
      </w:pPr>
      <w:r>
        <w:t xml:space="preserve">Commitments</w:t>
      </w:r>
    </w:p>
    <w:p>
      <w:pPr>
        <w:pStyle w:val="Compact"/>
        <w:numPr>
          <w:ilvl w:val="0"/>
          <w:numId w:val="1003"/>
        </w:numPr>
      </w:pPr>
      <w:r>
        <w:t xml:space="preserve">By 2030, deploy 10,000 climate-neutral, highly secure edge nodes across the EU.</w:t>
      </w:r>
    </w:p>
    <w:p>
      <w:pPr>
        <w:pStyle w:val="Compact"/>
        <w:numPr>
          <w:ilvl w:val="0"/>
          <w:numId w:val="1003"/>
        </w:numPr>
      </w:pPr>
      <w:r>
        <w:t xml:space="preserve">By 2030, achieve climate neutrality for the data centre industry in Europe.</w:t>
      </w:r>
    </w:p>
    <w:p>
      <w:pPr>
        <w:pStyle w:val="Compact"/>
        <w:numPr>
          <w:ilvl w:val="0"/>
          <w:numId w:val="1003"/>
        </w:numPr>
      </w:pPr>
      <w:r>
        <w:t xml:space="preserve">By 2025, 80% of all generated data is expected to be processed at the edge.</w:t>
      </w:r>
    </w:p>
    <w:p>
      <w:pPr>
        <w:pStyle w:val="Compact"/>
        <w:numPr>
          <w:ilvl w:val="0"/>
          <w:numId w:val="1003"/>
        </w:numPr>
      </w:pPr>
      <w:r>
        <w:t xml:space="preserve">Reduce greenhouse gas emissions by 55% by 2030 (EU collective ambition).</w:t>
      </w:r>
    </w:p>
    <w:p>
      <w:pPr>
        <w:pStyle w:val="Compact"/>
        <w:numPr>
          <w:ilvl w:val="0"/>
          <w:numId w:val="1003"/>
        </w:numPr>
      </w:pPr>
      <w:r>
        <w:t xml:space="preserve">75% of EU enterprises will use computing services, big data or AI by 2030.</w:t>
      </w:r>
    </w:p>
    <w:p>
      <w:pPr>
        <w:pStyle w:val="Compact"/>
        <w:numPr>
          <w:ilvl w:val="0"/>
          <w:numId w:val="1003"/>
        </w:numPr>
      </w:pPr>
      <w:r>
        <w:t xml:space="preserve">100% of key public services for citizens and businesses will be available online by 2030.</w:t>
      </w:r>
    </w:p>
    <w:p>
      <w:pPr>
        <w:pStyle w:val="Compact"/>
        <w:numPr>
          <w:ilvl w:val="0"/>
          <w:numId w:val="1003"/>
        </w:numPr>
      </w:pPr>
      <w:r>
        <w:t xml:space="preserve">100% of European citizens will have access to electronic health records by 2030.</w:t>
      </w:r>
    </w:p>
    <w:p>
      <w:pPr>
        <w:pStyle w:val="Compact"/>
        <w:numPr>
          <w:ilvl w:val="0"/>
          <w:numId w:val="1003"/>
        </w:numPr>
      </w:pPr>
      <w:r>
        <w:t xml:space="preserve">80% of citizens will have access to a digital ID solution by 2030.</w:t>
      </w:r>
    </w:p>
    <w:p>
      <w:pPr>
        <w:pStyle w:val="Compact"/>
        <w:numPr>
          <w:ilvl w:val="0"/>
          <w:numId w:val="1003"/>
        </w:numPr>
      </w:pPr>
      <w:r>
        <w:t xml:space="preserve">Certify compliance of data centre metrics according to requirements and sustainability frameworks (mid-term).</w:t>
      </w:r>
    </w:p>
    <w:p>
      <w:pPr>
        <w:pStyle w:val="Compact"/>
        <w:numPr>
          <w:ilvl w:val="0"/>
          <w:numId w:val="1003"/>
        </w:numPr>
      </w:pPr>
      <w:r>
        <w:t xml:space="preserve">Data centre providers are highly encouraged to deliver all relevant KPIs to customers to allow calculation of end-to-end environmental impact (mid-term).</w:t>
      </w:r>
    </w:p>
    <w:p>
      <w:pPr>
        <w:pStyle w:val="Compact"/>
        <w:numPr>
          <w:ilvl w:val="0"/>
          <w:numId w:val="1003"/>
        </w:numPr>
      </w:pPr>
      <w:r>
        <w:t xml:space="preserve">Foster the research and development of new technologies, for example hydrogen-powered data centres and integration in hydrogen grids (long-term).</w:t>
      </w:r>
    </w:p>
    <w:p>
      <w:pPr>
        <w:pStyle w:val="Compact"/>
        <w:numPr>
          <w:ilvl w:val="0"/>
          <w:numId w:val="1003"/>
        </w:numPr>
      </w:pPr>
      <w:r>
        <w:t xml:space="preserve">Establish or empower a European standardisation body able to foster norms, provide recommendations and guidelines, and certify service providers and tools regarding standards adoption and compliance (long-term).</w:t>
      </w:r>
    </w:p>
    <w:p>
      <w:pPr>
        <w:pStyle w:val="Compact"/>
        <w:numPr>
          <w:ilvl w:val="0"/>
          <w:numId w:val="1003"/>
        </w:numPr>
      </w:pPr>
      <w:r>
        <w:t xml:space="preserve">Maintain the Reference Testbed for edge-to-cloud continuum deployment and provide long-term support for it.</w:t>
      </w:r>
    </w:p>
    <w:p>
      <w:pPr>
        <w:pStyle w:val="Compact"/>
        <w:numPr>
          <w:ilvl w:val="0"/>
          <w:numId w:val="1003"/>
        </w:numPr>
      </w:pPr>
      <w:r>
        <w:t xml:space="preserve">Maintain the Federated Cloud Marketplace and provide long-term support for it.</w:t>
      </w:r>
    </w:p>
    <w:p>
      <w:pPr>
        <w:pStyle w:val="Compact"/>
        <w:numPr>
          <w:ilvl w:val="0"/>
          <w:numId w:val="1003"/>
        </w:numPr>
      </w:pPr>
      <w:r>
        <w:t xml:space="preserve">Establish a European Competence Centre for Open Source (short/mid-term).</w:t>
      </w:r>
    </w:p>
    <w:p>
      <w:pPr>
        <w:pStyle w:val="Compact"/>
        <w:numPr>
          <w:ilvl w:val="0"/>
          <w:numId w:val="1003"/>
        </w:numPr>
      </w:pPr>
      <w:r>
        <w:t xml:space="preserve">Establish a long-term open source strategy in collaboration with an EU Competence Centre for Open-Source.</w:t>
      </w:r>
    </w:p>
    <w:p>
      <w:pPr>
        <w:pStyle w:val="Compact"/>
        <w:numPr>
          <w:ilvl w:val="0"/>
          <w:numId w:val="1003"/>
        </w:numPr>
      </w:pPr>
      <w:r>
        <w:t xml:space="preserve">Foster integration of successful designs in stock data centres through dissemination, regulation and incentives (long-term).</w:t>
      </w:r>
    </w:p>
    <w:p>
      <w:pPr>
        <w:pStyle w:val="Compact"/>
        <w:numPr>
          <w:ilvl w:val="0"/>
          <w:numId w:val="1003"/>
        </w:numPr>
      </w:pPr>
      <w:r>
        <w:t xml:space="preserve">Support use of waste heat in local and district heating through a collaborative and integrative implementation of infrastructure by all relevant actors (long-term).</w:t>
      </w:r>
    </w:p>
    <w:p>
      <w:pPr>
        <w:pStyle w:val="Compact"/>
        <w:numPr>
          <w:ilvl w:val="0"/>
          <w:numId w:val="1003"/>
        </w:numPr>
      </w:pPr>
      <w:r>
        <w:t xml:space="preserve">Integrate the use of green hydrogen to compensate for fossil fuels for data centre energy supply and backup-energy (long-term).</w:t>
      </w:r>
    </w:p>
    <w:p>
      <w:pPr>
        <w:pStyle w:val="Compact"/>
        <w:numPr>
          <w:ilvl w:val="0"/>
          <w:numId w:val="1003"/>
        </w:numPr>
      </w:pPr>
      <w:r>
        <w:t xml:space="preserve">By 2025, humanity is expected to produce 175 zettabytes of data.</w:t>
      </w:r>
    </w:p>
    <w:p>
      <w:pPr>
        <w:pStyle w:val="Compact"/>
        <w:numPr>
          <w:ilvl w:val="0"/>
          <w:numId w:val="1003"/>
        </w:numPr>
      </w:pPr>
      <w:r>
        <w:t xml:space="preserve">Video traffic is expected to triple average home monthly Internet usage to beyond 1 TB by 2025.</w:t>
      </w:r>
    </w:p>
    <w:p>
      <w:pPr>
        <w:pStyle w:val="Compact"/>
        <w:numPr>
          <w:ilvl w:val="0"/>
          <w:numId w:val="1003"/>
        </w:numPr>
      </w:pPr>
      <w:r>
        <w:t xml:space="preserve">By 2025, 25 billion Internet of Things (IoT) devices, 2 billion 5G connections, 70% mobile coverage worldwide, and mobile broadband adoption of 95% are expected.</w:t>
      </w:r>
    </w:p>
    <w:p>
      <w:pPr>
        <w:pStyle w:val="Compact"/>
        <w:numPr>
          <w:ilvl w:val="0"/>
          <w:numId w:val="1003"/>
        </w:numPr>
      </w:pPr>
      <w:r>
        <w:t xml:space="preserve">Europe will grow the pipeline of its innovative scale-ups and improve access to finance, leading to the number of unicorns doubling (by 2030).</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2025-06-11T18:50:47Z</dcterms:created>
  <dcterms:modified xsi:type="dcterms:W3CDTF">2025-06-11T18:50:47Z</dcterms:modified>
</cp:coreProperties>
</file>

<file path=docProps/custom.xml><?xml version="1.0" encoding="utf-8"?>
<Properties xmlns="http://schemas.openxmlformats.org/officeDocument/2006/custom-properties" xmlns:vt="http://schemas.openxmlformats.org/officeDocument/2006/docPropsVTypes"/>
</file>