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8dcb3dae012f643ae58e2d8f549eebfb39ec2c"/>
    <w:p>
      <w:pPr>
        <w:pStyle w:val="Heading1"/>
      </w:pPr>
      <w:r>
        <w:t xml:space="preserve">Project for the Promotion and Articulation of Innovation Ecosystems in Latin America (2020-2022)</w:t>
      </w:r>
    </w:p>
    <w:p>
      <w:pPr>
        <w:pStyle w:val="FirstParagraph"/>
      </w:pPr>
      <w:r>
        <w:rPr>
          <w:b/>
          <w:bCs/>
        </w:rPr>
        <w:t xml:space="preserve">Date</w:t>
      </w:r>
      <w:r>
        <w:t xml:space="preserve">: 2023-03-23</w:t>
      </w:r>
    </w:p>
    <w:p>
      <w:pPr>
        <w:pStyle w:val="BodyText"/>
      </w:pPr>
      <w:r>
        <w:rPr>
          <w:b/>
          <w:bCs/>
        </w:rPr>
        <w:t xml:space="preserve">Location</w:t>
      </w:r>
      <w:r>
        <w:t xml:space="preserve">: San José, Costa Rica</w:t>
      </w:r>
    </w:p>
    <w:bookmarkStart w:id="20" w:name="executive-summary"/>
    <w:p>
      <w:pPr>
        <w:pStyle w:val="Heading2"/>
      </w:pPr>
      <w:r>
        <w:t xml:space="preserve">Executive Summary</w:t>
      </w:r>
    </w:p>
    <w:p>
      <w:pPr>
        <w:pStyle w:val="FirstParagraph"/>
      </w:pPr>
      <w:r>
        <w:t xml:space="preserve">The CAF and OEI jointly implemented a three-year project (2020-2022) to promote and articulate innovation ecosystems across seven Latin American countries, targeting universities, SMEs, and innovation agencies. The initiative aimed to strengthen academia-business collaboration, build human and institutional capacities for open innovation, and design scalable learning experiences. Key activities included 15 editions of an Innovation Challenges course, certified by the Polytechnic University of Valencia, and partnerships such as with Colombia’s SENA. Over 1,600 participants, including 500 university members and 1,000 SME representatives, were trained, with 427 innovation challenges developed, some securing national funding. The project fostered trust and co-creation between academia and SMEs, consolidating a regional network committed to ongoing collaboration. Plans are underway for a second phase to scale successful innovation challenges and expand the training model’s reach.</w:t>
      </w:r>
    </w:p>
    <w:bookmarkEnd w:id="20"/>
    <w:bookmarkStart w:id="21" w:name="characteristics"/>
    <w:p>
      <w:pPr>
        <w:pStyle w:val="Heading2"/>
      </w:pPr>
      <w:r>
        <w:t xml:space="preserve">Characteristics</w:t>
      </w:r>
    </w:p>
    <w:p>
      <w:pPr>
        <w:pStyle w:val="Compact"/>
        <w:numPr>
          <w:ilvl w:val="0"/>
          <w:numId w:val="1001"/>
        </w:numPr>
      </w:pPr>
      <w:r>
        <w:t xml:space="preserve">A three-year (2020-2022) project by CAF and OEI aimed at promoting innovation ecosystems in seven Latin American countries, targeting universities, SMEs, and innovation agencies.</w:t>
      </w:r>
    </w:p>
    <w:p>
      <w:pPr>
        <w:pStyle w:val="Compact"/>
        <w:numPr>
          <w:ilvl w:val="0"/>
          <w:numId w:val="1001"/>
        </w:numPr>
      </w:pPr>
      <w:r>
        <w:t xml:space="preserve">Objectives included strengthening academia-business collaboration, building human capital for open innovation, and designing scalable, replicable learning experiences.</w:t>
      </w:r>
    </w:p>
    <w:p>
      <w:pPr>
        <w:pStyle w:val="Compact"/>
        <w:numPr>
          <w:ilvl w:val="0"/>
          <w:numId w:val="1001"/>
        </w:numPr>
      </w:pPr>
      <w:r>
        <w:t xml:space="preserve">Delivered 15 editions of an Innovation Challenges course, trained over 1,600 participants, and involved 18 universities and 661 companies.</w:t>
      </w:r>
    </w:p>
    <w:p>
      <w:pPr>
        <w:pStyle w:val="Compact"/>
        <w:numPr>
          <w:ilvl w:val="0"/>
          <w:numId w:val="1001"/>
        </w:numPr>
      </w:pPr>
      <w:r>
        <w:t xml:space="preserve">Achievements include 427 innovation challenges formulated, some securing national science-agency funding, and creation of a regional network for ongoing collaboration.</w:t>
      </w:r>
    </w:p>
    <w:p>
      <w:pPr>
        <w:pStyle w:val="Compact"/>
        <w:numPr>
          <w:ilvl w:val="0"/>
          <w:numId w:val="1001"/>
        </w:numPr>
      </w:pPr>
      <w:r>
        <w:t xml:space="preserve">Key lessons highlighted the importance of co-creation to tailor innovation tools and overcoming distrust through joint problem-solving.</w:t>
      </w:r>
    </w:p>
    <w:p>
      <w:pPr>
        <w:pStyle w:val="Compact"/>
        <w:numPr>
          <w:ilvl w:val="0"/>
          <w:numId w:val="1001"/>
        </w:numPr>
      </w:pPr>
      <w:r>
        <w:t xml:space="preserve">Plans for a second phase focus on scaling successful innovation challenges and expanding indirect beneficiaries through replication of the training model.</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Development Bank of Latin America and the Caribbean; Organisation of Ibero-American States</w:t>
            </w:r>
          </w:p>
        </w:tc>
      </w:tr>
      <w:tr>
        <w:tc>
          <w:tcPr/>
          <w:p>
            <w:pPr>
              <w:pStyle w:val="Compact"/>
            </w:pPr>
            <w:r>
              <w:t xml:space="preserve">Research and Innovation Actors</w:t>
            </w:r>
          </w:p>
        </w:tc>
        <w:tc>
          <w:tcPr/>
          <w:p>
            <w:pPr>
              <w:pStyle w:val="Compact"/>
            </w:pPr>
            <w:r>
              <w:t xml:space="preserve">Universities; Academic Institutions</w:t>
            </w:r>
          </w:p>
        </w:tc>
      </w:tr>
      <w:tr>
        <w:tc>
          <w:tcPr/>
          <w:p>
            <w:pPr>
              <w:pStyle w:val="Compact"/>
            </w:pPr>
            <w:r>
              <w:t xml:space="preserve">Economic Actors</w:t>
            </w:r>
          </w:p>
        </w:tc>
        <w:tc>
          <w:tcPr/>
          <w:p>
            <w:pPr>
              <w:pStyle w:val="Compact"/>
            </w:pPr>
            <w:r>
              <w:t xml:space="preserve">Development Bank of Latin America and the Caribbean</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Technology &amp; Innovation</w:t>
            </w:r>
          </w:p>
        </w:tc>
        <w:tc>
          <w:tcPr/>
          <w:p>
            <w:pPr>
              <w:pStyle w:val="Compact"/>
            </w:pPr>
            <w:r>
              <w:t xml:space="preserve">ICT Innovation</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Delivery of 15 editions of the Innovation Challenges course (2021-2022), certified by the Polytechnic University of Valencia.</w:t>
      </w:r>
    </w:p>
    <w:p>
      <w:pPr>
        <w:pStyle w:val="Compact"/>
        <w:numPr>
          <w:ilvl w:val="0"/>
          <w:numId w:val="1002"/>
        </w:numPr>
      </w:pPr>
      <w:r>
        <w:t xml:space="preserve">Partnership with SENA (Colombia) to co-finance pilot cohorts for innovation training.</w:t>
      </w:r>
    </w:p>
    <w:p>
      <w:pPr>
        <w:pStyle w:val="Compact"/>
        <w:numPr>
          <w:ilvl w:val="0"/>
          <w:numId w:val="1002"/>
        </w:numPr>
      </w:pPr>
      <w:r>
        <w:t xml:space="preserve">Training of over 1,600 participants including university faculty, students, and SME representatives across seven Latin American countries.</w:t>
      </w:r>
    </w:p>
    <w:p>
      <w:pPr>
        <w:pStyle w:val="Compact"/>
        <w:numPr>
          <w:ilvl w:val="0"/>
          <w:numId w:val="1002"/>
        </w:numPr>
      </w:pPr>
      <w:r>
        <w:t xml:space="preserve">Engagement of 18 universities and 661 companies in building innovation capacities and receiving training support.</w:t>
      </w:r>
    </w:p>
    <w:p>
      <w:pPr>
        <w:pStyle w:val="Compact"/>
        <w:numPr>
          <w:ilvl w:val="0"/>
          <w:numId w:val="1002"/>
        </w:numPr>
      </w:pPr>
      <w:r>
        <w:t xml:space="preserve">Formulation of 427 innovation challenges, with several obtaining national science-agency funding.</w:t>
      </w:r>
    </w:p>
    <w:p>
      <w:pPr>
        <w:pStyle w:val="Compact"/>
        <w:numPr>
          <w:ilvl w:val="0"/>
          <w:numId w:val="1002"/>
        </w:numPr>
      </w:pPr>
      <w:r>
        <w:t xml:space="preserve">Hosting of an international meeting in Costa Rica for cross-country peer exchange among stakeholders.</w:t>
      </w:r>
    </w:p>
    <w:p>
      <w:pPr>
        <w:pStyle w:val="Compact"/>
        <w:numPr>
          <w:ilvl w:val="0"/>
          <w:numId w:val="1002"/>
        </w:numPr>
      </w:pPr>
      <w:r>
        <w:t xml:space="preserve">Establishment of a regional network of universities and SMEs committed to ongoing collaboration in innovation.</w:t>
      </w:r>
    </w:p>
    <w:p>
      <w:pPr>
        <w:pStyle w:val="Compact"/>
        <w:numPr>
          <w:ilvl w:val="0"/>
          <w:numId w:val="1002"/>
        </w:numPr>
      </w:pPr>
      <w:r>
        <w:t xml:space="preserve">Replication of the training model by participants to expand indirect beneficiaries.</w:t>
      </w:r>
    </w:p>
    <w:p>
      <w:pPr>
        <w:pStyle w:val="Compact"/>
        <w:numPr>
          <w:ilvl w:val="0"/>
          <w:numId w:val="1002"/>
        </w:numPr>
      </w:pPr>
      <w:r>
        <w:t xml:space="preserve">Exploration by CAF and OEI of a second project phase focused on scaling successful innovation challenges.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2025-06-19T15:02:20Z</dcterms:created>
  <dcterms:modified xsi:type="dcterms:W3CDTF">2025-06-19T15:02:20Z</dcterms:modified>
</cp:coreProperties>
</file>

<file path=docProps/custom.xml><?xml version="1.0" encoding="utf-8"?>
<Properties xmlns="http://schemas.openxmlformats.org/officeDocument/2006/custom-properties" xmlns:vt="http://schemas.openxmlformats.org/officeDocument/2006/docPropsVTypes"/>
</file>