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0be3190540c70ef52c0d5e4159096c04b7c9d2"/>
    <w:p>
      <w:pPr>
        <w:pStyle w:val="Heading1"/>
      </w:pPr>
      <w:r>
        <w:t xml:space="preserve">14th Eurolat Plenary Session Resolutions on EU-Latin America Cooperation: Economic Recovery, Circular Economy, Criminal Justice, Cultural Relations, and COVID-19 Impact on Women</w:t>
      </w:r>
    </w:p>
    <w:p>
      <w:pPr>
        <w:pStyle w:val="FirstParagraph"/>
      </w:pPr>
      <w:r>
        <w:rPr>
          <w:b/>
          <w:bCs/>
        </w:rPr>
        <w:t xml:space="preserve">Date</w:t>
      </w:r>
      <w:r>
        <w:t xml:space="preserve">: 2022-04-14</w:t>
      </w:r>
    </w:p>
    <w:p>
      <w:pPr>
        <w:pStyle w:val="BodyText"/>
      </w:pPr>
      <w:r>
        <w:rPr>
          <w:b/>
          <w:bCs/>
        </w:rPr>
        <w:t xml:space="preserve">Location</w:t>
      </w:r>
      <w:r>
        <w:t xml:space="preserve">: Buenos Aires, Argentina</w:t>
      </w:r>
    </w:p>
    <w:bookmarkStart w:id="20" w:name="executive-summary"/>
    <w:p>
      <w:pPr>
        <w:pStyle w:val="Heading2"/>
      </w:pPr>
      <w:r>
        <w:t xml:space="preserve">Executive Summary</w:t>
      </w:r>
    </w:p>
    <w:p>
      <w:pPr>
        <w:pStyle w:val="FirstParagraph"/>
      </w:pPr>
      <w:r>
        <w:t xml:space="preserve">The 14th Euro-Latin American Parliamentary Assembly (EuroLat) plenary session in Buenos Aires (April 2022) focused on strengthening EU-Latin America and Caribbean (LAC) cooperation for a just, inclusive, and sustainable post-COVID recovery. Key priorities include vaccine production and distribution, climate change action, social inclusion, gender equality, and economic recovery through productivity and green transitions. The session called for an EU-CELAC summit and enhanced bi-regional cooperation programs. Resolutions emphasized advancing a circular economy to promote sustainability and job creation, improving criminal justice cooperation to combat transnational crime, and leveraging culture to foster bi-regional relations and sustainable development. The impact of COVID-19 on women was highlighted, urging gender-sensitive recovery plans addressing increased violence, economic inequality, and health access. Overall, the Assembly stressed the need for inclusive policies, strengthened democracy, environmental protection, and enhanced dialogue to achieve sustainable development and social cohesion between the EU and LAC regions.</w:t>
      </w:r>
    </w:p>
    <w:bookmarkEnd w:id="20"/>
    <w:bookmarkStart w:id="21" w:name="characteristics"/>
    <w:p>
      <w:pPr>
        <w:pStyle w:val="Heading2"/>
      </w:pPr>
      <w:r>
        <w:t xml:space="preserve">Characteristics</w:t>
      </w:r>
    </w:p>
    <w:p>
      <w:pPr>
        <w:pStyle w:val="Compact"/>
        <w:numPr>
          <w:ilvl w:val="0"/>
          <w:numId w:val="1001"/>
        </w:numPr>
      </w:pPr>
      <w:r>
        <w:t xml:space="preserve">The 14th Eurolat plenary session (April 2022, Buenos Aires) focused on a just, inclusive, and peaceful economic recovery post-COVID, emphasizing vaccine production, climate change, social inclusion, gender equality, and bi-regional cooperation between the EU and Latin America.</w:t>
      </w:r>
    </w:p>
    <w:p>
      <w:pPr>
        <w:pStyle w:val="Compact"/>
        <w:numPr>
          <w:ilvl w:val="0"/>
          <w:numId w:val="1001"/>
        </w:numPr>
      </w:pPr>
      <w:r>
        <w:t xml:space="preserve">The Circular Economy resolution promotes sustainable resource use, waste reduction, recycling, and formalizing informal recycling sectors in Latin America, aiming to boost economic recovery, job creation, and environmental protection through bi-regional cooperation.</w:t>
      </w:r>
    </w:p>
    <w:p>
      <w:pPr>
        <w:pStyle w:val="Compact"/>
        <w:numPr>
          <w:ilvl w:val="0"/>
          <w:numId w:val="1001"/>
        </w:numPr>
      </w:pPr>
      <w:r>
        <w:t xml:space="preserve">The Cooperation on Criminal Justice resolution highlights the need for enhanced judicial cooperation between the EU and Latin America to combat transnational crime, emphasizing respect for human rights, rule of law, and the protection of whistleblowers and victims.</w:t>
      </w:r>
    </w:p>
    <w:p>
      <w:pPr>
        <w:pStyle w:val="Compact"/>
        <w:numPr>
          <w:ilvl w:val="0"/>
          <w:numId w:val="1001"/>
        </w:numPr>
      </w:pPr>
      <w:r>
        <w:t xml:space="preserve">The Culture resolution stresses culture as a key tool for strengthening EU-Latin America relations, promoting intercultural dialogue, cultural diversity, creative industries, and addressing COVID-19 impacts on the cultural sector with a focus on sustainable development and social inclusion.</w:t>
      </w:r>
    </w:p>
    <w:p>
      <w:pPr>
        <w:pStyle w:val="Compact"/>
        <w:numPr>
          <w:ilvl w:val="0"/>
          <w:numId w:val="1001"/>
        </w:numPr>
      </w:pPr>
      <w:r>
        <w:t xml:space="preserve">The Impact of COVID-19 on Women resolution addresses increased gender-based violence, economic inequalities, health disparities, and underrepresentation in decision-making, urging EU-LAC governments to adopt gender-sensitive recovery plans, improve access to health and education, and promote women’s rights and participation.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Euro-Latin American Parliamentary Assembly (EuroLat); European Union; European Parliament; EU Member States; European Council; European Commission; Community of Latin American and Caribbean States; Southern Common Market; Latin American Parliament; Central American Parliament; Andean Parliament; Mercosur Parliament; Organisation of American States; United Nations; United Nations Officials; CELAC Pro-Tempore Presidency; Union of South American Nations</w:t>
            </w:r>
          </w:p>
        </w:tc>
      </w:tr>
      <w:tr>
        <w:tc>
          <w:tcPr/>
          <w:p>
            <w:pPr>
              <w:pStyle w:val="Compact"/>
            </w:pPr>
            <w:r>
              <w:t xml:space="preserve">Research and Innovation Actors</w:t>
            </w:r>
          </w:p>
        </w:tc>
        <w:tc>
          <w:tcPr/>
          <w:p>
            <w:pPr>
              <w:pStyle w:val="Compact"/>
            </w:pPr>
            <w:r>
              <w:t xml:space="preserve">EU-LAC Foundation; Latin American Parliament (Parlatino); Universities</w:t>
            </w:r>
          </w:p>
        </w:tc>
      </w:tr>
      <w:tr>
        <w:tc>
          <w:tcPr/>
          <w:p>
            <w:pPr>
              <w:pStyle w:val="Compact"/>
            </w:pPr>
            <w:r>
              <w:t xml:space="preserve">Economic Actors</w:t>
            </w:r>
          </w:p>
        </w:tc>
        <w:tc>
          <w:tcPr/>
          <w:p>
            <w:pPr>
              <w:pStyle w:val="Compact"/>
            </w:pPr>
            <w:r>
              <w:t xml:space="preserve">Development Bank of Latin America and the Caribbean; Inter-American Development Bank; World Bank; Southern Common Market</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EU-CELAC Digital Partnership; Bi-regional Cooperation; Multilateralism</w:t>
            </w:r>
          </w:p>
        </w:tc>
      </w:tr>
      <w:tr>
        <w:tc>
          <w:tcPr/>
          <w:p>
            <w:pPr>
              <w:pStyle w:val="Compact"/>
            </w:pPr>
            <w:r>
              <w:t xml:space="preserve">Inclusion &amp; Social Development</w:t>
            </w:r>
          </w:p>
        </w:tc>
        <w:tc>
          <w:tcPr/>
          <w:p>
            <w:pPr>
              <w:pStyle w:val="Compact"/>
            </w:pPr>
            <w:r>
              <w:t xml:space="preserve">Social Cohesion; Gender Equality in Tech</w:t>
            </w:r>
          </w:p>
        </w:tc>
      </w:tr>
      <w:tr>
        <w:tc>
          <w:tcPr/>
          <w:p>
            <w:pPr>
              <w:pStyle w:val="Compact"/>
            </w:pPr>
            <w:r>
              <w:t xml:space="preserve">Digital Transformation &amp; Strategy</w:t>
            </w:r>
          </w:p>
        </w:tc>
        <w:tc>
          <w:tcPr/>
          <w:p>
            <w:pPr>
              <w:pStyle w:val="Compact"/>
            </w:pPr>
            <w:r>
              <w:t xml:space="preserve">Digital Acceleration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Support for the production and distribution of COVID-19 vaccines in Latin America and the Caribbean, including mobilization of funding for long-term recovery (14th Eurolat plenary session).</w:t>
      </w:r>
    </w:p>
    <w:p>
      <w:pPr>
        <w:pStyle w:val="Compact"/>
        <w:numPr>
          <w:ilvl w:val="0"/>
          <w:numId w:val="1002"/>
        </w:numPr>
      </w:pPr>
      <w:r>
        <w:t xml:space="preserve">Call for the exceptional and temporary lifting of patents for vaccines and medicines to treat COVID-19 to improve access (14th Eurolat plenary session).</w:t>
      </w:r>
    </w:p>
    <w:p>
      <w:pPr>
        <w:pStyle w:val="Compact"/>
        <w:numPr>
          <w:ilvl w:val="0"/>
          <w:numId w:val="1002"/>
        </w:numPr>
      </w:pPr>
      <w:r>
        <w:t xml:space="preserve">Design and implementation of new bi-regional cooperation programmes under the EU Neighbourhood, Development and International Cooperation Instrument - Global Europe, focusing on social cohesion, reduction of inequalities, inclusive public policies, institutional capacity building, rule of law, education, digital transformation, and universal healthcare infrastructure (14th Eurolat plenary session).</w:t>
      </w:r>
    </w:p>
    <w:p>
      <w:pPr>
        <w:pStyle w:val="Compact"/>
        <w:numPr>
          <w:ilvl w:val="0"/>
          <w:numId w:val="1002"/>
        </w:numPr>
      </w:pPr>
      <w:r>
        <w:t xml:space="preserve">Promotion of structural measures to combat gender violence, ensure access to justice for victims, promote women’s economic security, reduce the gender pay gap, and increase women’s participation in political decision-making; including policies to exchange or replace foreign debt with development and social investment projects (14th Eurolat plenary session).</w:t>
      </w:r>
    </w:p>
    <w:p>
      <w:pPr>
        <w:pStyle w:val="Compact"/>
        <w:numPr>
          <w:ilvl w:val="0"/>
          <w:numId w:val="1002"/>
        </w:numPr>
      </w:pPr>
      <w:r>
        <w:t xml:space="preserve">Call for the conclusion of a Euro-Latin American Green Deal to promote bi-regional cooperation on renewable energy transition, energy security, biodiversity protection, deforestation fight, CO2 and greenhouse gas reduction, European investments, and technology transfers (14th Eurolat plenary session).</w:t>
      </w:r>
    </w:p>
    <w:p>
      <w:pPr>
        <w:pStyle w:val="Compact"/>
        <w:numPr>
          <w:ilvl w:val="0"/>
          <w:numId w:val="1002"/>
        </w:numPr>
      </w:pPr>
      <w:r>
        <w:t xml:space="preserve">Development and implementation of circular economy legal frameworks and financing mechanisms tailored to EU and Latin American countries, including formalization and integration of the informal recycling sector, reduction of food waste, green public procurement, and promotion of recycling culture (Circular economy resolution).</w:t>
      </w:r>
    </w:p>
    <w:p>
      <w:pPr>
        <w:pStyle w:val="Compact"/>
        <w:numPr>
          <w:ilvl w:val="0"/>
          <w:numId w:val="1002"/>
        </w:numPr>
      </w:pPr>
      <w:r>
        <w:t xml:space="preserve">Establishment of public-private partnerships and links between universities and businesses to promote circular economy models based on knowledge, innovation, research, and development, including tax incentives and financing parameters (Circular economy resolution).</w:t>
      </w:r>
    </w:p>
    <w:p>
      <w:pPr>
        <w:pStyle w:val="Compact"/>
        <w:numPr>
          <w:ilvl w:val="0"/>
          <w:numId w:val="1002"/>
        </w:numPr>
      </w:pPr>
      <w:r>
        <w:t xml:space="preserve">Promotion of education and research plans focusing on circular economy issues, including bi-regional cooperation and technical assistance for knowledge transfer and joint research (Circular economy resolution).</w:t>
      </w:r>
    </w:p>
    <w:p>
      <w:pPr>
        <w:pStyle w:val="Compact"/>
        <w:numPr>
          <w:ilvl w:val="0"/>
          <w:numId w:val="1002"/>
        </w:numPr>
      </w:pPr>
      <w:r>
        <w:t xml:space="preserve">Strengthening of cooperation on criminal justice between the EU and Latin America through mutual legal assistance agreements, joint investigation teams, liaison magistrates, and reinforcement of police cooperation agreements (Cooperation on criminal justice resolution).</w:t>
      </w:r>
    </w:p>
    <w:p>
      <w:pPr>
        <w:pStyle w:val="Compact"/>
        <w:numPr>
          <w:ilvl w:val="0"/>
          <w:numId w:val="1002"/>
        </w:numPr>
      </w:pPr>
      <w:r>
        <w:t xml:space="preserve">Continuation and expansion of EU programmes for strengthening institutional and legal capacity in Latin America in criminal justice, such as PAcCTO, COPOLAD, and the Cocaine Route Programme (Cooperation on criminal justice resolution).</w:t>
      </w:r>
    </w:p>
    <w:p>
      <w:pPr>
        <w:pStyle w:val="Compact"/>
        <w:numPr>
          <w:ilvl w:val="0"/>
          <w:numId w:val="1002"/>
        </w:numPr>
      </w:pPr>
      <w:r>
        <w:t xml:space="preserve">Protection mechanisms for whistle-blowers, journalists, human-rights and environmental activists, ensuring their physical and legal safety (Cooperation on criminal justice resolution).</w:t>
      </w:r>
    </w:p>
    <w:p>
      <w:pPr>
        <w:pStyle w:val="Compact"/>
        <w:numPr>
          <w:ilvl w:val="0"/>
          <w:numId w:val="1002"/>
        </w:numPr>
      </w:pPr>
      <w:r>
        <w:t xml:space="preserve">Promotion of access to justice for victims in criminal matters, including implementation of international conventions like the Aarhus Convention and the Escazú Treaty (Cooperation on criminal justice resolution).</w:t>
      </w:r>
    </w:p>
    <w:p>
      <w:pPr>
        <w:pStyle w:val="Compact"/>
        <w:numPr>
          <w:ilvl w:val="0"/>
          <w:numId w:val="1002"/>
        </w:numPr>
      </w:pPr>
      <w:r>
        <w:t xml:space="preserve">Promotion of culture as a tool for bi-regional relations, including support for cultural exchanges, mobility, co-production, and new technologies; allocation of funding to the EU-LAC Foundation for studies, forums, and cultural festivals; and incorporation of culture in development cooperation actions (Culture as a means of promoting relations resolution).</w:t>
      </w:r>
    </w:p>
    <w:p>
      <w:pPr>
        <w:pStyle w:val="Compact"/>
        <w:numPr>
          <w:ilvl w:val="0"/>
          <w:numId w:val="1002"/>
        </w:numPr>
      </w:pPr>
      <w:r>
        <w:t xml:space="preserve">Strengthening of creative and cultural sectors through recognition of changes in creation, distribution, and consumption of cultural goods, protection of cultural and linguistic diversity, and ensuring fair remuneration for cultural workers (Culture as a means of promoting relations resolution).</w:t>
      </w:r>
    </w:p>
    <w:p>
      <w:pPr>
        <w:pStyle w:val="Compact"/>
        <w:numPr>
          <w:ilvl w:val="0"/>
          <w:numId w:val="1002"/>
        </w:numPr>
      </w:pPr>
      <w:r>
        <w:t xml:space="preserve">Promotion of bilateral and multilateral cultural diplomacy strategies, including through existing cooperation frameworks and programmes such as Horizon 2020, Erasmus, and Erasmus+ (Culture as a means of promoting relations resolution).</w:t>
      </w:r>
    </w:p>
    <w:p>
      <w:pPr>
        <w:pStyle w:val="Compact"/>
        <w:numPr>
          <w:ilvl w:val="0"/>
          <w:numId w:val="1002"/>
        </w:numPr>
      </w:pPr>
      <w:r>
        <w:t xml:space="preserve">Declaration of essential instruments to address gender-based violence, ensuring victims’ access to shelter, helplines, and health services; increased investment in public services for early detection and prevention of gender-based violence (The impact of COVID-19 on women resolution).</w:t>
      </w:r>
    </w:p>
    <w:p>
      <w:pPr>
        <w:pStyle w:val="Compact"/>
        <w:numPr>
          <w:ilvl w:val="0"/>
          <w:numId w:val="1002"/>
        </w:numPr>
      </w:pPr>
      <w:r>
        <w:t xml:space="preserve">Promotion of gender balance across economic and professional sectors, equal access to digital tools and skills, redistribution of care responsibilities, and improved family leave and flexible work arrangements (The impact of COVID-19 on women resolution).</w:t>
      </w:r>
    </w:p>
    <w:p>
      <w:pPr>
        <w:pStyle w:val="Compact"/>
        <w:numPr>
          <w:ilvl w:val="0"/>
          <w:numId w:val="1002"/>
        </w:numPr>
      </w:pPr>
      <w:r>
        <w:t xml:space="preserve">Guarantee of quality and affordable access to essential health services, including sexual and reproductive health services and medical attention during pregnancy; specific action plans for young mothers to support education continuity (The impact of COVID-19 on women resolution).</w:t>
      </w:r>
    </w:p>
    <w:p>
      <w:pPr>
        <w:pStyle w:val="Compact"/>
        <w:numPr>
          <w:ilvl w:val="0"/>
          <w:numId w:val="1002"/>
        </w:numPr>
      </w:pPr>
      <w:r>
        <w:t xml:space="preserve">Investment in digital technologies to increase women’s access to health and social services, especially in rural areas (The impact of COVID-19 on women resolution).</w:t>
      </w:r>
    </w:p>
    <w:p>
      <w:pPr>
        <w:pStyle w:val="Compact"/>
        <w:numPr>
          <w:ilvl w:val="0"/>
          <w:numId w:val="1002"/>
        </w:numPr>
      </w:pPr>
      <w:r>
        <w:t xml:space="preserve">Inclusion of women in all stages of COVID-19 recovery plan design and implementation with a gender-sensitive approach (The impact of COVID-19 on women resolution).</w:t>
      </w:r>
    </w:p>
    <w:p>
      <w:pPr>
        <w:pStyle w:val="Compact"/>
        <w:numPr>
          <w:ilvl w:val="0"/>
          <w:numId w:val="1002"/>
        </w:numPr>
      </w:pPr>
      <w:r>
        <w:t xml:space="preserve">Development of public policies to mitigate pandemic impacts on education outcomes, addressing factors such as early pregnancy, early marriage, and gender-based violence (The impact of COVID-19 on women resolution).</w:t>
      </w:r>
    </w:p>
    <w:p>
      <w:pPr>
        <w:pStyle w:val="Compact"/>
        <w:numPr>
          <w:ilvl w:val="0"/>
          <w:numId w:val="1002"/>
        </w:numPr>
      </w:pPr>
      <w:r>
        <w:t xml:space="preserve">Promotion of cooperation between EU and LAC countries to share best practices and methodologies on gender mainstreaming in all policies (The impact of COVID-19 on women resolution).</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2025-06-19T16:01:47Z</dcterms:created>
  <dcterms:modified xsi:type="dcterms:W3CDTF">2025-06-19T16:01:47Z</dcterms:modified>
</cp:coreProperties>
</file>

<file path=docProps/custom.xml><?xml version="1.0" encoding="utf-8"?>
<Properties xmlns="http://schemas.openxmlformats.org/officeDocument/2006/custom-properties" xmlns:vt="http://schemas.openxmlformats.org/officeDocument/2006/docPropsVTypes"/>
</file>