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531feb20065042ad21ac47b5f144827147b0710"/>
    <w:p>
      <w:pPr>
        <w:pStyle w:val="Heading1"/>
      </w:pPr>
      <w:r>
        <w:t xml:space="preserve">LAC4 General Assembly 2024: Review of Achievements and Strategic Priorities for Cybersecurity Cooperation in Latin America and the Caribbean</w:t>
      </w:r>
    </w:p>
    <w:p>
      <w:pPr>
        <w:pStyle w:val="FirstParagraph"/>
      </w:pPr>
      <w:r>
        <w:rPr>
          <w:b/>
          <w:bCs/>
        </w:rPr>
        <w:t xml:space="preserve">Date</w:t>
      </w:r>
      <w:r>
        <w:t xml:space="preserve">: 2024-11-07</w:t>
      </w:r>
    </w:p>
    <w:p>
      <w:pPr>
        <w:pStyle w:val="BodyText"/>
      </w:pPr>
      <w:r>
        <w:rPr>
          <w:b/>
          <w:bCs/>
        </w:rPr>
        <w:t xml:space="preserve">Location</w:t>
      </w:r>
      <w:r>
        <w:t xml:space="preserve">: Santiago, Chile</w:t>
      </w:r>
    </w:p>
    <w:bookmarkStart w:id="20" w:name="executive-summary"/>
    <w:p>
      <w:pPr>
        <w:pStyle w:val="Heading2"/>
      </w:pPr>
      <w:r>
        <w:t xml:space="preserve">Executive Summary</w:t>
      </w:r>
    </w:p>
    <w:p>
      <w:pPr>
        <w:pStyle w:val="FirstParagraph"/>
      </w:pPr>
      <w:r>
        <w:t xml:space="preserve">The 2nd Ordinary General Assembly of the Latin America and Caribbean Cyber Competence Centre (LAC4) convened on 7 November 2024 in Santiago, Chile, alongside key EU-LAC digital events. The assembly reviewed LAC4’s 2023-2024 achievements, including a 63% increase in cybersecurity capacity-building activities, engaging over 2,500 professionals, and expanding membership to 12 entities with eight new members. Key outcomes included electing Mauricio Papaleo to the Board, approving the 2025 work plan and budget, and committing to a 70% increase in activities by 2026. The assembly emphasized multi-stakeholder cooperation, cyber-diplomacy, and support for national cybersecurity strategies. A regional study on cyber-diplomacy readiness is planned for 2025. Next steps involve publishing the 2025 activity calendar and presenting conclusions at upcoming EU-LAC summits, reinforcing LAC4’s role in advancing bi-regional digital cooperation and capacity building.</w:t>
      </w:r>
    </w:p>
    <w:bookmarkEnd w:id="20"/>
    <w:bookmarkStart w:id="21" w:name="characteristics"/>
    <w:p>
      <w:pPr>
        <w:pStyle w:val="Heading2"/>
      </w:pPr>
      <w:r>
        <w:t xml:space="preserve">Characteristics</w:t>
      </w:r>
    </w:p>
    <w:p>
      <w:pPr>
        <w:pStyle w:val="Compact"/>
        <w:numPr>
          <w:ilvl w:val="0"/>
          <w:numId w:val="1001"/>
        </w:numPr>
      </w:pPr>
      <w:r>
        <w:t xml:space="preserve">The 2nd Ordinary General Assembly of LAC4 was held on 7 November 2024 in Santiago, Chile, alongside major EU-LAC digital and ministerial events.</w:t>
      </w:r>
    </w:p>
    <w:p>
      <w:pPr>
        <w:pStyle w:val="Compact"/>
        <w:numPr>
          <w:ilvl w:val="0"/>
          <w:numId w:val="1001"/>
        </w:numPr>
      </w:pPr>
      <w:r>
        <w:t xml:space="preserve">Reviewed 2023-2024 performance, elected board members, welcomed 8 new members, and set priorities and budget for 2025.</w:t>
      </w:r>
    </w:p>
    <w:p>
      <w:pPr>
        <w:pStyle w:val="Compact"/>
        <w:numPr>
          <w:ilvl w:val="0"/>
          <w:numId w:val="1001"/>
        </w:numPr>
      </w:pPr>
      <w:r>
        <w:t xml:space="preserve">Delivered 51 cybersecurity capacity-building activities (+63% YoY) engaging over 2,500 professionals; total membership reached 12 entities.</w:t>
      </w:r>
    </w:p>
    <w:p>
      <w:pPr>
        <w:pStyle w:val="Compact"/>
        <w:numPr>
          <w:ilvl w:val="0"/>
          <w:numId w:val="1001"/>
        </w:numPr>
      </w:pPr>
      <w:r>
        <w:t xml:space="preserve">Emphasized multi-stakeholder cooperation, cyber-diplomacy support, and endorsed assistance for national cybersecurity strategies.</w:t>
      </w:r>
    </w:p>
    <w:p>
      <w:pPr>
        <w:pStyle w:val="Compact"/>
        <w:numPr>
          <w:ilvl w:val="0"/>
          <w:numId w:val="1001"/>
        </w:numPr>
      </w:pPr>
      <w:r>
        <w:t xml:space="preserve">Approved 2025 work plan with a mandate to increase activities by 70% by 2026 and launch a regional cyber-diplomacy readiness study.</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Guido Gómez Mazara; INDOTEL; Félix Fernández-Shaw; DG INTPA; European Commission; Mauricio Papaleo; AGESIC; Uruguay; Antigua &amp; Barbuda; Ecuador; Estonia; Guatemala; Honduras; Uruguay; RedCLARA; CYBER 4.0</w:t>
            </w:r>
          </w:p>
        </w:tc>
      </w:tr>
      <w:tr>
        <w:tc>
          <w:tcPr/>
          <w:p>
            <w:pPr>
              <w:pStyle w:val="Compact"/>
            </w:pPr>
            <w:r>
              <w:t xml:space="preserve">Research and Innovation Actors</w:t>
            </w:r>
          </w:p>
        </w:tc>
        <w:tc>
          <w:tcPr/>
          <w:p>
            <w:pPr>
              <w:pStyle w:val="Compact"/>
            </w:pPr>
            <w:r>
              <w:t xml:space="preserve">EU-LAC Digital Alliance; Latin American Cooperation of Advanced Networks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Regional &amp; International Cooperation</w:t>
            </w:r>
          </w:p>
        </w:tc>
        <w:tc>
          <w:tcPr/>
          <w:p>
            <w:pPr>
              <w:pStyle w:val="Compact"/>
            </w:pPr>
            <w:r>
              <w:t xml:space="preserve">EU-LAC Digital Alliance; Bi-regional Cooperation</w:t>
            </w:r>
          </w:p>
        </w:tc>
      </w:tr>
      <w:tr>
        <w:tc>
          <w:tcPr/>
          <w:p>
            <w:pPr>
              <w:pStyle w:val="Compact"/>
            </w:pPr>
            <w:r>
              <w:t xml:space="preserve">Data &amp; Governance</w:t>
            </w:r>
          </w:p>
        </w:tc>
        <w:tc>
          <w:tcPr/>
          <w:p>
            <w:pPr>
              <w:pStyle w:val="Compact"/>
            </w:pPr>
            <w:r>
              <w:t xml:space="preserve">Cyber Risk Management; Digital Governance</w:t>
            </w:r>
          </w:p>
        </w:tc>
      </w:tr>
    </w:tbl>
    <w:bookmarkEnd w:id="23"/>
    <w:bookmarkStart w:id="24" w:name="practical-applications"/>
    <w:p>
      <w:pPr>
        <w:pStyle w:val="Heading2"/>
      </w:pPr>
      <w:r>
        <w:t xml:space="preserve">Practical Applications</w:t>
      </w:r>
    </w:p>
    <w:p>
      <w:pPr>
        <w:pStyle w:val="Compact"/>
        <w:numPr>
          <w:ilvl w:val="0"/>
          <w:numId w:val="1002"/>
        </w:numPr>
      </w:pPr>
      <w:r>
        <w:t xml:space="preserve">Delivery of 51 cybersecurity capacity-building activities from September 2023 to August 2024, engaging over 2,500 professionals across Latin America and the Caribbean.</w:t>
      </w:r>
    </w:p>
    <w:p>
      <w:pPr>
        <w:pStyle w:val="Compact"/>
        <w:numPr>
          <w:ilvl w:val="0"/>
          <w:numId w:val="1002"/>
        </w:numPr>
      </w:pPr>
      <w:r>
        <w:t xml:space="preserve">Admission of 8 new members to LAC4, expanding total membership to 12 entities, including Antigua &amp; Barbuda, Ecuador, Estonia, Guatemala, Honduras, Uruguay, RedCLARA, and CYBER 4.0.</w:t>
      </w:r>
    </w:p>
    <w:p>
      <w:pPr>
        <w:pStyle w:val="Compact"/>
        <w:numPr>
          <w:ilvl w:val="0"/>
          <w:numId w:val="1002"/>
        </w:numPr>
      </w:pPr>
      <w:r>
        <w:t xml:space="preserve">Continued assistance for drafting and implementing national cybersecurity strategies endorsed by LAC4 members.</w:t>
      </w:r>
    </w:p>
    <w:p>
      <w:pPr>
        <w:pStyle w:val="Compact"/>
        <w:numPr>
          <w:ilvl w:val="0"/>
          <w:numId w:val="1002"/>
        </w:numPr>
      </w:pPr>
      <w:r>
        <w:t xml:space="preserve">Approval and implementation of the 2025 work plan and operating budget, including plans to expand training offers and peer-exchange formats with a target of a 70% increase in activities by 2026.</w:t>
      </w:r>
    </w:p>
    <w:p>
      <w:pPr>
        <w:pStyle w:val="Compact"/>
        <w:numPr>
          <w:ilvl w:val="0"/>
          <w:numId w:val="1002"/>
        </w:numPr>
      </w:pPr>
      <w:r>
        <w:t xml:space="preserve">Launch of a regional study on cyber-diplomacy readiness in Latin America and the Caribbean scheduled for Q3 2025.</w:t>
      </w:r>
    </w:p>
    <w:p>
      <w:pPr>
        <w:pStyle w:val="Compact"/>
        <w:numPr>
          <w:ilvl w:val="0"/>
          <w:numId w:val="1002"/>
        </w:numPr>
      </w:pPr>
      <w:r>
        <w:t xml:space="preserve">Strengthening bi-regional cooperation and alignment of capacity-building activities with EU-LAC Digital Alliance goals.</w:t>
      </w:r>
    </w:p>
    <w:p>
      <w:pPr>
        <w:pStyle w:val="Compact"/>
        <w:numPr>
          <w:ilvl w:val="0"/>
          <w:numId w:val="1002"/>
        </w:numPr>
      </w:pPr>
      <w:r>
        <w:t xml:space="preserve">Engagement of multi-stakeholder approaches, including cooperation with academia and support for cyber-diplomacy.</w:t>
      </w:r>
    </w:p>
    <w:bookmarkEnd w:id="24"/>
    <w:bookmarkStart w:id="25" w:name="commitments"/>
    <w:p>
      <w:pPr>
        <w:pStyle w:val="Heading2"/>
      </w:pPr>
      <w:r>
        <w:t xml:space="preserve">Commitments</w:t>
      </w:r>
    </w:p>
    <w:p>
      <w:pPr>
        <w:pStyle w:val="Compact"/>
        <w:numPr>
          <w:ilvl w:val="0"/>
          <w:numId w:val="1003"/>
        </w:numPr>
      </w:pPr>
      <w:r>
        <w:t xml:space="preserve">Target a 70% increase in cybersecurity capacity-building activities by 2026.</w:t>
      </w:r>
    </w:p>
    <w:p>
      <w:pPr>
        <w:pStyle w:val="Compact"/>
        <w:numPr>
          <w:ilvl w:val="0"/>
          <w:numId w:val="1003"/>
        </w:numPr>
      </w:pPr>
      <w:r>
        <w:t xml:space="preserve">Launch a regional study on cyber-diplomacy readiness in Latin America and the Caribbean by Q3 2025.</w:t>
      </w:r>
    </w:p>
    <w:p>
      <w:pPr>
        <w:pStyle w:val="Compact"/>
        <w:numPr>
          <w:ilvl w:val="0"/>
          <w:numId w:val="1003"/>
        </w:numPr>
      </w:pPr>
      <w:r>
        <w:t xml:space="preserve">Publish the 2025 activity calendar by Q1 2025.</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2025-06-19T16:50:34Z</dcterms:created>
  <dcterms:modified xsi:type="dcterms:W3CDTF">2025-06-19T16:50:34Z</dcterms:modified>
</cp:coreProperties>
</file>

<file path=docProps/custom.xml><?xml version="1.0" encoding="utf-8"?>
<Properties xmlns="http://schemas.openxmlformats.org/officeDocument/2006/custom-properties" xmlns:vt="http://schemas.openxmlformats.org/officeDocument/2006/docPropsVTypes"/>
</file>