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7ded9d5a738508e903593db79b9477b4ef7897d"/>
    <w:p>
      <w:pPr>
        <w:pStyle w:val="Heading1"/>
      </w:pPr>
      <w:r>
        <w:t xml:space="preserve">Conference on the Future of Europe: Assessment, Follow-Up, and Citizen Engagement for EU Reform and Policy Action</w:t>
      </w:r>
    </w:p>
    <w:p>
      <w:pPr>
        <w:pStyle w:val="FirstParagraph"/>
      </w:pPr>
      <w:r>
        <w:rPr>
          <w:b/>
          <w:bCs/>
        </w:rPr>
        <w:t xml:space="preserve">Date</w:t>
      </w:r>
      <w:r>
        <w:t xml:space="preserve">: 2022-06-17</w:t>
      </w:r>
    </w:p>
    <w:p>
      <w:pPr>
        <w:pStyle w:val="BodyText"/>
      </w:pPr>
      <w:r>
        <w:rPr>
          <w:b/>
          <w:bCs/>
        </w:rPr>
        <w:t xml:space="preserve">Location</w:t>
      </w:r>
      <w:r>
        <w:t xml:space="preserve">: Brussels, Belgium</w:t>
      </w:r>
    </w:p>
    <w:bookmarkStart w:id="20" w:name="executive-summary"/>
    <w:p>
      <w:pPr>
        <w:pStyle w:val="Heading2"/>
      </w:pPr>
      <w:r>
        <w:t xml:space="preserve">Executive Summary</w:t>
      </w:r>
    </w:p>
    <w:p>
      <w:pPr>
        <w:pStyle w:val="FirstParagraph"/>
      </w:pPr>
      <w:r>
        <w:t xml:space="preserve">The European Commission’s Communication on the Conference on the Future of Europe outlines a comprehensive follow-up to the unprecedented pan-European democratic exercise held from 2021-2022. The Conference engaged citizens across the EU to propose 49 broad proposals and 326 measures across nine themes, including climate, health, economy, digital transformation, democracy, migration, and EU global role. The Commission categorizes these proposals into existing initiatives, ongoing legislative work, planned actions, and new initiatives requiring further development. Emphasis is placed on pragmatic implementation within current EU treaties, with openness to treaty changes where necessary. The Communication highlights the importance of embedding participatory democracy through citizens’ panels and digital platforms, fostering a European public space and civic identity. The Commission commits to integrating citizens’ input into policymaking and will announce new proposals in the 2023 Work Programme. A feedback event in autumn 2022 will update on progress, ensuring transparency and continued citizen engagement in shaping Europe’s future.</w:t>
      </w:r>
    </w:p>
    <w:bookmarkEnd w:id="20"/>
    <w:bookmarkStart w:id="21" w:name="characteristics"/>
    <w:p>
      <w:pPr>
        <w:pStyle w:val="Heading2"/>
      </w:pPr>
      <w:r>
        <w:t xml:space="preserve">Characteristics</w:t>
      </w:r>
    </w:p>
    <w:p>
      <w:pPr>
        <w:pStyle w:val="Compact"/>
        <w:numPr>
          <w:ilvl w:val="0"/>
          <w:numId w:val="1001"/>
        </w:numPr>
      </w:pPr>
      <w:r>
        <w:t xml:space="preserve">The Conference on the Future of Europe was a year-long, pan-European deliberative democracy exercise engaging diverse citizens to shape EU policies on climate, health, economy, democracy, and more.</w:t>
      </w:r>
    </w:p>
    <w:p>
      <w:pPr>
        <w:pStyle w:val="Compact"/>
        <w:numPr>
          <w:ilvl w:val="0"/>
          <w:numId w:val="1001"/>
        </w:numPr>
      </w:pPr>
      <w:r>
        <w:t xml:space="preserve">It produced 49 proposals and 326 measures across nine themes, emphasizing social fairness, EU independence, and tackling generational challenges like digital and green transitions.</w:t>
      </w:r>
    </w:p>
    <w:p>
      <w:pPr>
        <w:pStyle w:val="Compact"/>
        <w:numPr>
          <w:ilvl w:val="0"/>
          <w:numId w:val="1001"/>
        </w:numPr>
      </w:pPr>
      <w:r>
        <w:t xml:space="preserve">The European Commission committed to follow up on proposals through legislation, planned actions, and new initiatives, respecting subsidiarity and proportionality principles.</w:t>
      </w:r>
    </w:p>
    <w:p>
      <w:pPr>
        <w:pStyle w:val="Compact"/>
        <w:numPr>
          <w:ilvl w:val="0"/>
          <w:numId w:val="1001"/>
        </w:numPr>
      </w:pPr>
      <w:r>
        <w:t xml:space="preserve">Citizens’ Panels and a multilingual digital platform were key innovations, fostering inclusive citizen engagement and deliberation in EU policymaking.</w:t>
      </w:r>
    </w:p>
    <w:p>
      <w:pPr>
        <w:pStyle w:val="Compact"/>
        <w:numPr>
          <w:ilvl w:val="0"/>
          <w:numId w:val="1001"/>
        </w:numPr>
      </w:pPr>
      <w:r>
        <w:t xml:space="preserve">Treaty changes are considered where necessary, but most reforms will use existing EU treaty provisions and mechanisms.</w:t>
      </w:r>
    </w:p>
    <w:p>
      <w:pPr>
        <w:pStyle w:val="Compact"/>
        <w:numPr>
          <w:ilvl w:val="0"/>
          <w:numId w:val="1001"/>
        </w:numPr>
      </w:pPr>
      <w:r>
        <w:t xml:space="preserve">The Commission aims to embed participative democracy in EU processes, with ongoing communication and a feedback event planned to maintain momentum and trust.</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Commission; European Parliament; European Council; European Union; EU Member States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Agenda; Digital Acceleration; Digital Platforms; Digital Transitions</w:t>
            </w:r>
          </w:p>
        </w:tc>
      </w:tr>
      <w:tr>
        <w:tc>
          <w:tcPr/>
          <w:p>
            <w:pPr>
              <w:pStyle w:val="Compact"/>
            </w:pPr>
            <w:r>
              <w:t xml:space="preserve">Inclusion &amp; Social Development</w:t>
            </w:r>
          </w:p>
        </w:tc>
        <w:tc>
          <w:tcPr/>
          <w:p>
            <w:pPr>
              <w:pStyle w:val="Compact"/>
            </w:pPr>
            <w:r>
              <w:t xml:space="preserve">Digital Inclusion</w:t>
            </w:r>
          </w:p>
        </w:tc>
      </w:tr>
      <w:tr>
        <w:tc>
          <w:tcPr/>
          <w:p>
            <w:pPr>
              <w:pStyle w:val="Compact"/>
            </w:pPr>
            <w:r>
              <w:t xml:space="preserve">Regional &amp; International Cooperation</w:t>
            </w:r>
          </w:p>
        </w:tc>
        <w:tc>
          <w:tcPr/>
          <w:p>
            <w:pPr>
              <w:pStyle w:val="Compact"/>
            </w:pPr>
            <w:r>
              <w:t xml:space="preserve">Multilateralism</w:t>
            </w:r>
          </w:p>
        </w:tc>
      </w:tr>
    </w:tbl>
    <w:bookmarkEnd w:id="23"/>
    <w:bookmarkStart w:id="24" w:name="practical-applications"/>
    <w:p>
      <w:pPr>
        <w:pStyle w:val="Heading2"/>
      </w:pPr>
      <w:r>
        <w:t xml:space="preserve">Practical Applications</w:t>
      </w:r>
    </w:p>
    <w:p>
      <w:pPr>
        <w:pStyle w:val="Compact"/>
        <w:numPr>
          <w:ilvl w:val="0"/>
          <w:numId w:val="1002"/>
        </w:numPr>
      </w:pPr>
      <w:r>
        <w:t xml:space="preserve">Implementation of the European Climate Law to enshrine EU climate targets into law.</w:t>
      </w:r>
    </w:p>
    <w:p>
      <w:pPr>
        <w:pStyle w:val="Compact"/>
        <w:numPr>
          <w:ilvl w:val="0"/>
          <w:numId w:val="1002"/>
        </w:numPr>
      </w:pPr>
      <w:r>
        <w:t xml:space="preserve">Enforcement of the Digital Services Act to ensure a safe online environment and safeguard freedom of expression and digital business opportunities.</w:t>
      </w:r>
    </w:p>
    <w:p>
      <w:pPr>
        <w:pStyle w:val="Compact"/>
        <w:numPr>
          <w:ilvl w:val="0"/>
          <w:numId w:val="1002"/>
        </w:numPr>
      </w:pPr>
      <w:r>
        <w:t xml:space="preserve">Establishment of the Health Emergency Preparedness and Response Authority (HERA) to improve Europe’s readiness and response to cross-border health threats.</w:t>
      </w:r>
    </w:p>
    <w:p>
      <w:pPr>
        <w:pStyle w:val="Compact"/>
        <w:numPr>
          <w:ilvl w:val="0"/>
          <w:numId w:val="1002"/>
        </w:numPr>
      </w:pPr>
      <w:r>
        <w:t xml:space="preserve">Agreements on minimum wages and women on boards to promote social justice and equality.</w:t>
      </w:r>
    </w:p>
    <w:p>
      <w:pPr>
        <w:pStyle w:val="Compact"/>
        <w:numPr>
          <w:ilvl w:val="0"/>
          <w:numId w:val="1002"/>
        </w:numPr>
      </w:pPr>
      <w:r>
        <w:t xml:space="preserve">Deployment of the Global Gateway strategy to invest in smart, clean, and secure infrastructure worldwide aligned with EU values.</w:t>
      </w:r>
    </w:p>
    <w:p>
      <w:pPr>
        <w:pStyle w:val="Compact"/>
        <w:numPr>
          <w:ilvl w:val="0"/>
          <w:numId w:val="1002"/>
        </w:numPr>
      </w:pPr>
      <w:r>
        <w:t xml:space="preserve">Ongoing legislative work on the New Pact on Migration and Asylum, the Artificial Intelligence Act, and initiatives to strengthen the circular economy (e.g., batteries, sustainable products).</w:t>
      </w:r>
    </w:p>
    <w:p>
      <w:pPr>
        <w:pStyle w:val="Compact"/>
        <w:numPr>
          <w:ilvl w:val="0"/>
          <w:numId w:val="1002"/>
        </w:numPr>
      </w:pPr>
      <w:r>
        <w:t xml:space="preserve">Implementation of the Fit for 55 package to meet climate targets and reduce energy dependence.</w:t>
      </w:r>
    </w:p>
    <w:p>
      <w:pPr>
        <w:pStyle w:val="Compact"/>
        <w:numPr>
          <w:ilvl w:val="0"/>
          <w:numId w:val="1002"/>
        </w:numPr>
      </w:pPr>
      <w:r>
        <w:t xml:space="preserve">Introduction of the Chips Act to boost EU resilience and technological sovereignty.</w:t>
      </w:r>
    </w:p>
    <w:p>
      <w:pPr>
        <w:pStyle w:val="Compact"/>
        <w:numPr>
          <w:ilvl w:val="0"/>
          <w:numId w:val="1002"/>
        </w:numPr>
      </w:pPr>
      <w:r>
        <w:t xml:space="preserve">Planned proposals including the Media Freedom Act to safeguard media pluralism and independence, legislative proposals to strengthen supply of critical raw materials, and the European Innovation Agenda.</w:t>
      </w:r>
    </w:p>
    <w:p>
      <w:pPr>
        <w:pStyle w:val="Compact"/>
        <w:numPr>
          <w:ilvl w:val="0"/>
          <w:numId w:val="1002"/>
        </w:numPr>
      </w:pPr>
      <w:r>
        <w:t xml:space="preserve">Upcoming legislative framework to accelerate the transition to sustainable food systems.</w:t>
      </w:r>
    </w:p>
    <w:p>
      <w:pPr>
        <w:pStyle w:val="Compact"/>
        <w:numPr>
          <w:ilvl w:val="0"/>
          <w:numId w:val="1002"/>
        </w:numPr>
      </w:pPr>
      <w:r>
        <w:t xml:space="preserve">Proposals to restore nature and ban products made by forced labor from the EU market.</w:t>
      </w:r>
    </w:p>
    <w:p>
      <w:pPr>
        <w:pStyle w:val="Compact"/>
        <w:numPr>
          <w:ilvl w:val="0"/>
          <w:numId w:val="1002"/>
        </w:numPr>
      </w:pPr>
      <w:r>
        <w:t xml:space="preserve">Use of European Citizens’ Panels for deliberation and recommendations ahead of key proposals, with a focus on diversity and youth participation.</w:t>
      </w:r>
    </w:p>
    <w:p>
      <w:pPr>
        <w:pStyle w:val="Compact"/>
        <w:numPr>
          <w:ilvl w:val="0"/>
          <w:numId w:val="1002"/>
        </w:numPr>
      </w:pPr>
      <w:r>
        <w:t xml:space="preserve">Launch of a new generation of Citizens Panels starting in 2022 as part of EU policymaking.</w:t>
      </w:r>
    </w:p>
    <w:p>
      <w:pPr>
        <w:pStyle w:val="Compact"/>
        <w:numPr>
          <w:ilvl w:val="0"/>
          <w:numId w:val="1002"/>
        </w:numPr>
      </w:pPr>
      <w:r>
        <w:t xml:space="preserve">Integration of the Conference’s multilingual digital platform features into the Commission’s Have Your Say portal to create a one-stop-shop for online citizen engagement.</w:t>
      </w:r>
    </w:p>
    <w:p>
      <w:pPr>
        <w:pStyle w:val="Compact"/>
        <w:numPr>
          <w:ilvl w:val="0"/>
          <w:numId w:val="1002"/>
        </w:numPr>
      </w:pPr>
      <w:r>
        <w:t xml:space="preserve">Measures under the European Democracy Action Plan to strengthen European political parties, protect election integrity, and uphold rights of EU mobile citizens.</w:t>
      </w:r>
    </w:p>
    <w:p>
      <w:pPr>
        <w:pStyle w:val="Compact"/>
        <w:numPr>
          <w:ilvl w:val="0"/>
          <w:numId w:val="1002"/>
        </w:numPr>
      </w:pPr>
      <w:r>
        <w:t xml:space="preserve">Support for the European Parliament in reforming EU electoral law, including proposals for transnational lists in European elections.</w:t>
      </w:r>
    </w:p>
    <w:p>
      <w:pPr>
        <w:pStyle w:val="Compact"/>
        <w:numPr>
          <w:ilvl w:val="0"/>
          <w:numId w:val="1002"/>
        </w:numPr>
      </w:pPr>
      <w:r>
        <w:t xml:space="preserve">Organization of a Conference Feedback Event in autumn 2022 to communicate follow-up actions and progress on the Conference proposals.</w:t>
      </w:r>
    </w:p>
    <w:bookmarkEnd w:id="24"/>
    <w:bookmarkStart w:id="25" w:name="commitments"/>
    <w:p>
      <w:pPr>
        <w:pStyle w:val="Heading2"/>
      </w:pPr>
      <w:r>
        <w:t xml:space="preserve">Commitments</w:t>
      </w:r>
    </w:p>
    <w:p>
      <w:pPr>
        <w:pStyle w:val="Compact"/>
        <w:numPr>
          <w:ilvl w:val="0"/>
          <w:numId w:val="1003"/>
        </w:numPr>
      </w:pPr>
      <w:r>
        <w:t xml:space="preserve">[</w:t>
      </w:r>
    </w:p>
    <w:p>
      <w:pPr>
        <w:pStyle w:val="Compact"/>
        <w:numPr>
          <w:ilvl w:val="0"/>
          <w:numId w:val="1003"/>
        </w:numPr>
      </w:pPr>
      <w:r>
        <w:t xml:space="preserve">Launch the first new generation of European Citizens Panels in the context of the 2022 State of the Union address, with participants randomly selected and one-third being young people.</w:t>
      </w:r>
    </w:p>
    <w:p>
      <w:pPr>
        <w:pStyle w:val="Compact"/>
        <w:numPr>
          <w:ilvl w:val="0"/>
          <w:numId w:val="1003"/>
        </w:numPr>
      </w:pPr>
      <w:r>
        <w:t xml:space="preserve">Announce the first set of new proposals responding to the Conference on the Future of Europe in the September 2022 State of the Union address and accompanying Letter of Intent; these proposals will be included in the 2023 Commission Work Programme.</w:t>
      </w:r>
    </w:p>
    <w:p>
      <w:pPr>
        <w:pStyle w:val="Compact"/>
        <w:numPr>
          <w:ilvl w:val="0"/>
          <w:numId w:val="1003"/>
        </w:numPr>
      </w:pPr>
      <w:r>
        <w:t xml:space="preserve">Organize a Conference Feedback Event in autumn 2022 to communicate follow-up actions and take stock of progress on the Conference proposals.</w:t>
      </w:r>
    </w:p>
    <w:p>
      <w:pPr>
        <w:pStyle w:val="Compact"/>
        <w:numPr>
          <w:ilvl w:val="0"/>
          <w:numId w:val="1003"/>
        </w:numPr>
      </w:pPr>
      <w:r>
        <w:t xml:space="preserve">By May 2022, the Multilingual Digital Platform had engaged close to 5 million individual visitors, over 750,000 participants, 18,000 ideas debated, and over 6,500 events (as a baseline for future engagement efforts).</w:t>
      </w:r>
    </w:p>
    <w:p>
      <w:pPr>
        <w:pStyle w:val="Compact"/>
        <w:numPr>
          <w:ilvl w:val="0"/>
          <w:numId w:val="1003"/>
        </w:numPr>
      </w:pPr>
      <w:r>
        <w:t xml:space="preserv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2025-06-19T17:37:32Z</dcterms:created>
  <dcterms:modified xsi:type="dcterms:W3CDTF">2025-06-19T17:37:32Z</dcterms:modified>
</cp:coreProperties>
</file>

<file path=docProps/custom.xml><?xml version="1.0" encoding="utf-8"?>
<Properties xmlns="http://schemas.openxmlformats.org/officeDocument/2006/custom-properties" xmlns:vt="http://schemas.openxmlformats.org/officeDocument/2006/docPropsVTypes"/>
</file>