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690f5254e2c53359b41a4c0545a202d72201a20"/>
    <w:p>
      <w:pPr>
        <w:pStyle w:val="Heading1"/>
      </w:pPr>
      <w:r>
        <w:t xml:space="preserve">European Council Conclusions from the 21-22 March 2024 Meeting on Ukraine, Security, Middle East, Enlargement, and EU Policies</w:t>
      </w:r>
    </w:p>
    <w:p>
      <w:pPr>
        <w:pStyle w:val="FirstParagraph"/>
      </w:pPr>
      <w:r>
        <w:rPr>
          <w:b/>
          <w:bCs/>
        </w:rPr>
        <w:t xml:space="preserve">Date</w:t>
      </w:r>
      <w:r>
        <w:t xml:space="preserve">: 2024-03-22</w:t>
      </w:r>
    </w:p>
    <w:p>
      <w:pPr>
        <w:pStyle w:val="BodyText"/>
      </w:pPr>
      <w:r>
        <w:rPr>
          <w:b/>
          <w:bCs/>
        </w:rPr>
        <w:t xml:space="preserve">Location</w:t>
      </w:r>
      <w:r>
        <w:t xml:space="preserve">: Brussels, Belgium</w:t>
      </w:r>
    </w:p>
    <w:bookmarkStart w:id="20" w:name="executive-summary"/>
    <w:p>
      <w:pPr>
        <w:pStyle w:val="Heading2"/>
      </w:pPr>
      <w:r>
        <w:t xml:space="preserve">Executive Summary</w:t>
      </w:r>
    </w:p>
    <w:p>
      <w:pPr>
        <w:pStyle w:val="FirstParagraph"/>
      </w:pPr>
      <w:r>
        <w:t xml:space="preserve">The European Council meeting on 21-22 March 2024 focused on key global challenges, notably the ongoing war in Ukraine, security and defense, the Middle East conflict, enlargement, and external relations. The Council reaffirmed unwavering support for Ukraine’s sovereignty, committing intensified military, financial, and humanitarian aid, and called for stronger sanctions against Russia and its allies. It emphasized enhancing EU defense capabilities, industrial base, and readiness, complementing NATO. On the Middle East, the Council condemned Hamas, urged a humanitarian pause in Gaza, and supported a two-state solution. Enlargement discussions included opening accession talks with Bosnia and Herzegovina and progress on Ukraine, Moldova, and Georgia. The Council addressed migration, agriculture, crisis preparedness, and economic policy, endorsing sustainable growth priorities. It also expressed concern over human rights in Russia and Belarus, and instability in Haiti, calling for political solutions and international cooperation.</w:t>
      </w:r>
    </w:p>
    <w:bookmarkEnd w:id="20"/>
    <w:bookmarkStart w:id="21" w:name="characteristics"/>
    <w:p>
      <w:pPr>
        <w:pStyle w:val="Heading2"/>
      </w:pPr>
      <w:r>
        <w:t xml:space="preserve">Characteristics</w:t>
      </w:r>
    </w:p>
    <w:p>
      <w:pPr>
        <w:pStyle w:val="Compact"/>
        <w:numPr>
          <w:ilvl w:val="0"/>
          <w:numId w:val="1001"/>
        </w:numPr>
      </w:pPr>
      <w:r>
        <w:t xml:space="preserve">The European Council reaffirmed strong support for Ukraine’s sovereignty, providing extensive political, financial, military, and humanitarian aid amid ongoing Russian aggression.</w:t>
      </w:r>
    </w:p>
    <w:p>
      <w:pPr>
        <w:pStyle w:val="Compact"/>
        <w:numPr>
          <w:ilvl w:val="0"/>
          <w:numId w:val="1001"/>
        </w:numPr>
      </w:pPr>
      <w:r>
        <w:t xml:space="preserve">Emphasis on enhancing EU defense capabilities, increasing defense spending, and strengthening the European defense industrial base to address rising security threats.</w:t>
      </w:r>
    </w:p>
    <w:p>
      <w:pPr>
        <w:pStyle w:val="Compact"/>
        <w:numPr>
          <w:ilvl w:val="0"/>
          <w:numId w:val="1001"/>
        </w:numPr>
      </w:pPr>
      <w:r>
        <w:t xml:space="preserve">Urgent call for humanitarian pause and ceasefire in the Middle East, condemning violence and stressing respect for international law and human rights.</w:t>
      </w:r>
    </w:p>
    <w:p>
      <w:pPr>
        <w:pStyle w:val="Compact"/>
        <w:numPr>
          <w:ilvl w:val="0"/>
          <w:numId w:val="1001"/>
        </w:numPr>
      </w:pPr>
      <w:r>
        <w:t xml:space="preserve">Commitment to EU enlargement with accession talks opened for Bosnia and Herzegovina, and progress noted for Ukraine, Moldova, and Georgia.</w:t>
      </w:r>
    </w:p>
    <w:p>
      <w:pPr>
        <w:pStyle w:val="Compact"/>
        <w:numPr>
          <w:ilvl w:val="0"/>
          <w:numId w:val="1001"/>
        </w:numPr>
      </w:pPr>
      <w:r>
        <w:t xml:space="preserve">Focus on migration control, countering human trafficking and smuggling, and launching a Global Alliance to address these challenges.</w:t>
      </w:r>
    </w:p>
    <w:p>
      <w:pPr>
        <w:pStyle w:val="Compact"/>
        <w:numPr>
          <w:ilvl w:val="0"/>
          <w:numId w:val="1001"/>
        </w:numPr>
      </w:pPr>
      <w:r>
        <w:t xml:space="preserve">Support for sustainable agriculture, farmers’ income stability, and addressing challenges in the food supply chain and trade measures related to Ukraine.</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European Council; European Union; EU Member States; European Commission; Council; High Representative; UN Secretary-General António Guterres; United Nations; UN Special Representative Pramila Patten; UN Special Rapporteur Reem Alsalem; European Union Advisory Mission (EUAM); European Union Military Assistance Mission (EUMAM); European Union Partnership Mission (EUPM); European Union Police Mission for the Palestinian Territories (EUPOL COPPS); European Union Border Assistance Mission to the Rafah Crossing Point (EUBAM Rafah); European Investment Bank; NATO; European Union Operation ASPIDES; European Parliament; Bosnia and Herzegovina; Ukraine; Republic of Moldova; Georgia; Egypt; Mauritania; Haiti; Russia; Belarus; Israel; Palestinian Authority; Iran; Czechia</w:t>
            </w:r>
          </w:p>
        </w:tc>
      </w:tr>
    </w:tbl>
    <w:bookmarkEnd w:id="22"/>
    <w:bookmarkStart w:id="23" w:name="main-themes"/>
    <w:p>
      <w:pPr>
        <w:pStyle w:val="Heading2"/>
      </w:pPr>
      <w:r>
        <w:t xml:space="preserve">Main Themes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Regional &amp; International Cooperation</w:t>
            </w:r>
          </w:p>
        </w:tc>
        <w:tc>
          <w:tcPr/>
          <w:p>
            <w:pPr>
              <w:pStyle w:val="Compact"/>
            </w:pPr>
            <w:r>
              <w:t xml:space="preserve">Multilateralism</w:t>
            </w:r>
          </w:p>
        </w:tc>
      </w:tr>
      <w:tr>
        <w:tc>
          <w:tcPr/>
          <w:p>
            <w:pPr>
              <w:pStyle w:val="Compact"/>
            </w:pPr>
            <w:r>
              <w:t xml:space="preserve">Data &amp; Governance</w:t>
            </w:r>
          </w:p>
        </w:tc>
        <w:tc>
          <w:tcPr/>
          <w:p>
            <w:pPr>
              <w:pStyle w:val="Compact"/>
            </w:pPr>
            <w:r>
              <w:t xml:space="preserve">Digital Governance</w:t>
            </w:r>
          </w:p>
        </w:tc>
      </w:tr>
      <w:tr>
        <w:tc>
          <w:tcPr/>
          <w:p>
            <w:pPr>
              <w:pStyle w:val="Compact"/>
            </w:pPr>
            <w:r>
              <w:t xml:space="preserve">Technology &amp; Innovation</w:t>
            </w:r>
          </w:p>
        </w:tc>
        <w:tc>
          <w:tcPr/>
          <w:p>
            <w:pPr>
              <w:pStyle w:val="Compact"/>
            </w:pPr>
            <w:r>
              <w:t xml:space="preserve">Technology Regulations</w:t>
            </w:r>
          </w:p>
        </w:tc>
      </w:tr>
    </w:tbl>
    <w:bookmarkEnd w:id="23"/>
    <w:bookmarkStart w:id="24" w:name="practical-applications"/>
    <w:p>
      <w:pPr>
        <w:pStyle w:val="Heading2"/>
      </w:pPr>
      <w:r>
        <w:t xml:space="preserve">Practical Applications</w:t>
      </w:r>
    </w:p>
    <w:p>
      <w:pPr>
        <w:pStyle w:val="Compact"/>
        <w:numPr>
          <w:ilvl w:val="0"/>
          <w:numId w:val="1002"/>
        </w:numPr>
      </w:pPr>
      <w:r>
        <w:t xml:space="preserve">[</w:t>
      </w:r>
    </w:p>
    <w:p>
      <w:pPr>
        <w:pStyle w:val="Compact"/>
        <w:numPr>
          <w:ilvl w:val="0"/>
          <w:numId w:val="1002"/>
        </w:numPr>
      </w:pPr>
      <w:r>
        <w:t xml:space="preserve">The European Union is providing Ukraine with comprehensive political, financial, economic, humanitarian, military, and diplomatic support, including speeding up delivery of air defence systems, ammunition, and missiles.</w:t>
      </w:r>
    </w:p>
    <w:p>
      <w:pPr>
        <w:pStyle w:val="Compact"/>
        <w:numPr>
          <w:ilvl w:val="0"/>
          <w:numId w:val="1002"/>
        </w:numPr>
      </w:pPr>
      <w:r>
        <w:t xml:space="preserve">The EU has adopted a Council Decision regarding a Ukraine Assistance Fund to continue military support under the European Peace Facility and is working on the 8th support package.</w:t>
      </w:r>
    </w:p>
    <w:p>
      <w:pPr>
        <w:pStyle w:val="Compact"/>
        <w:numPr>
          <w:ilvl w:val="0"/>
          <w:numId w:val="1002"/>
        </w:numPr>
      </w:pPr>
      <w:r>
        <w:t xml:space="preserve">The EU Military Assistance Mission (EUMAM) capacity has been increased to support Ukraine.</w:t>
      </w:r>
    </w:p>
    <w:p>
      <w:pPr>
        <w:pStyle w:val="Compact"/>
        <w:numPr>
          <w:ilvl w:val="0"/>
          <w:numId w:val="1002"/>
        </w:numPr>
      </w:pPr>
      <w:r>
        <w:t xml:space="preserve">The European Council supports efforts to direct extraordinary revenues from Russia’s immobilised assets to benefit Ukraine, including funding military support.</w:t>
      </w:r>
    </w:p>
    <w:p>
      <w:pPr>
        <w:pStyle w:val="Compact"/>
        <w:numPr>
          <w:ilvl w:val="0"/>
          <w:numId w:val="1002"/>
        </w:numPr>
      </w:pPr>
      <w:r>
        <w:t xml:space="preserve">The EU has adopted the 13th package of sanctions against Russia and is preparing further sanctions against Belarus, North Korea, and Iran.</w:t>
      </w:r>
    </w:p>
    <w:p>
      <w:pPr>
        <w:pStyle w:val="Compact"/>
        <w:numPr>
          <w:ilvl w:val="0"/>
          <w:numId w:val="1002"/>
        </w:numPr>
      </w:pPr>
      <w:r>
        <w:t xml:space="preserve">The EU is prepared to respond with restrictive measures against Iran if it transfers ballistic missiles or related technology to Russia.</w:t>
      </w:r>
    </w:p>
    <w:p>
      <w:pPr>
        <w:pStyle w:val="Compact"/>
        <w:numPr>
          <w:ilvl w:val="0"/>
          <w:numId w:val="1002"/>
        </w:numPr>
      </w:pPr>
      <w:r>
        <w:t xml:space="preserve">The European Union Advisory Mission (EUAM) in Ukraine has been strengthened to support law enforcement and reforms.</w:t>
      </w:r>
    </w:p>
    <w:p>
      <w:pPr>
        <w:pStyle w:val="Compact"/>
        <w:numPr>
          <w:ilvl w:val="0"/>
          <w:numId w:val="1002"/>
        </w:numPr>
      </w:pPr>
      <w:r>
        <w:t xml:space="preserve">The EU is providing psychological and psychosocial rehabilitation support and increased demining assistance in Ukraine.</w:t>
      </w:r>
    </w:p>
    <w:p>
      <w:pPr>
        <w:pStyle w:val="Compact"/>
        <w:numPr>
          <w:ilvl w:val="0"/>
          <w:numId w:val="1002"/>
        </w:numPr>
      </w:pPr>
      <w:r>
        <w:t xml:space="preserve">The EU is assisting Ukraine in rebuilding its export markets, especially in the Middle East and Africa.</w:t>
      </w:r>
    </w:p>
    <w:p>
      <w:pPr>
        <w:pStyle w:val="Compact"/>
        <w:numPr>
          <w:ilvl w:val="0"/>
          <w:numId w:val="1002"/>
        </w:numPr>
      </w:pPr>
      <w:r>
        <w:t xml:space="preserve">The EU supports the Republic of Moldova and Georgia in strengthening resilience, security, and stability, including through the European Union Partnership Mission (EUPM) in Moldova.</w:t>
      </w:r>
    </w:p>
    <w:p>
      <w:pPr>
        <w:pStyle w:val="Compact"/>
        <w:numPr>
          <w:ilvl w:val="0"/>
          <w:numId w:val="1002"/>
        </w:numPr>
      </w:pPr>
      <w:r>
        <w:t xml:space="preserve">The European Union is committed to increasing defence readiness and capabilities, including fulfilling commitments to increase defence expenditure, improving access to finance for the defence industry, incentivising joint procurement, and enhancing the European defence industrial base.</w:t>
      </w:r>
    </w:p>
    <w:p>
      <w:pPr>
        <w:pStyle w:val="Compact"/>
        <w:numPr>
          <w:ilvl w:val="0"/>
          <w:numId w:val="1002"/>
        </w:numPr>
      </w:pPr>
      <w:r>
        <w:t xml:space="preserve">The European Council invites the Council and Commission to explore funding options for defence and to advance the European Defence Industrial Strategy (EDIS) and European Defence Industry Programme (EDIP).</w:t>
      </w:r>
    </w:p>
    <w:p>
      <w:pPr>
        <w:pStyle w:val="Compact"/>
        <w:numPr>
          <w:ilvl w:val="0"/>
          <w:numId w:val="1002"/>
        </w:numPr>
      </w:pPr>
      <w:r>
        <w:t xml:space="preserve">The EU is implementing the Strategic Compass, focusing on rapid deployment capacity, military mobility, live exercises, space security, cyber and hybrid threat countermeasures, and foreign information manipulation and interference.</w:t>
      </w:r>
    </w:p>
    <w:p>
      <w:pPr>
        <w:pStyle w:val="Compact"/>
        <w:numPr>
          <w:ilvl w:val="0"/>
          <w:numId w:val="1002"/>
        </w:numPr>
      </w:pPr>
      <w:r>
        <w:t xml:space="preserve">The EU launched the Amalthea Initiative to open a maritime route for emergency assistance from Cyprus to Gaza, supplementing land routes.</w:t>
      </w:r>
    </w:p>
    <w:p>
      <w:pPr>
        <w:pStyle w:val="Compact"/>
        <w:numPr>
          <w:ilvl w:val="0"/>
          <w:numId w:val="1002"/>
        </w:numPr>
      </w:pPr>
      <w:r>
        <w:t xml:space="preserve">The EU supports the two CSDP missions in the Palestinian Territories: the European Union Police Mission for the Palestinian Territories (EUPOL COPPS) and the European Union Border Assistance Mission to the Rafah Crossing Point (EUBAM Rafah).</w:t>
      </w:r>
    </w:p>
    <w:p>
      <w:pPr>
        <w:pStyle w:val="Compact"/>
        <w:numPr>
          <w:ilvl w:val="0"/>
          <w:numId w:val="1002"/>
        </w:numPr>
      </w:pPr>
      <w:r>
        <w:t xml:space="preserve">The EU is working on further restrictive measures against Hamas and extremist settler violence in the West Bank.</w:t>
      </w:r>
    </w:p>
    <w:p>
      <w:pPr>
        <w:pStyle w:val="Compact"/>
        <w:numPr>
          <w:ilvl w:val="0"/>
          <w:numId w:val="1002"/>
        </w:numPr>
      </w:pPr>
      <w:r>
        <w:t xml:space="preserve">The EU launched Operation ASPIDES to safeguard freedom of navigation and security of seafarers in the Red Sea, Gulf of Aden, and broader region.</w:t>
      </w:r>
    </w:p>
    <w:p>
      <w:pPr>
        <w:pStyle w:val="Compact"/>
        <w:numPr>
          <w:ilvl w:val="0"/>
          <w:numId w:val="1002"/>
        </w:numPr>
      </w:pPr>
      <w:r>
        <w:t xml:space="preserve">The EU has released EUR 20 million in humanitarian support to Haiti and supports the UN Security Council Resolution 2699 for a Multinational Security Support Mission.</w:t>
      </w:r>
    </w:p>
    <w:p>
      <w:pPr>
        <w:pStyle w:val="Compact"/>
        <w:numPr>
          <w:ilvl w:val="0"/>
          <w:numId w:val="1002"/>
        </w:numPr>
      </w:pPr>
      <w:r>
        <w:t xml:space="preserve">The EU supports a comprehensive approach to migration, including strengthening tools to counter human trafficking and smuggling and launching a Global Alliance to address these challenges.</w:t>
      </w:r>
    </w:p>
    <w:p>
      <w:pPr>
        <w:pStyle w:val="Compact"/>
        <w:numPr>
          <w:ilvl w:val="0"/>
          <w:numId w:val="1002"/>
        </w:numPr>
      </w:pPr>
      <w:r>
        <w:t xml:space="preserve">The EU is working on short- and medium-term measures to support farmers, including reducing administrative burdens, strengthening farmers’ position in the food supply chain, providing additional financial support, ensuring fair competition, and addressing trade measures related to Ukraine.</w:t>
      </w:r>
    </w:p>
    <w:p>
      <w:pPr>
        <w:pStyle w:val="Compact"/>
        <w:numPr>
          <w:ilvl w:val="0"/>
          <w:numId w:val="1002"/>
        </w:numPr>
      </w:pPr>
      <w:r>
        <w:t xml:space="preserve">The EU is advancing work on enhanced and coordinated military and civilian preparedness and strategic crisis management, with a view to a future preparedness strategy.</w:t>
      </w:r>
    </w:p>
    <w:p>
      <w:pPr>
        <w:pStyle w:val="Compact"/>
        <w:numPr>
          <w:ilvl w:val="0"/>
          <w:numId w:val="1002"/>
        </w:numPr>
      </w:pPr>
      <w:r>
        <w:t xml:space="preserve">The European Council has decided to open accession negotiations with Bosnia and Herzegovina and is advancing accession frameworks for Ukraine, Moldova, and Georgia.</w:t>
      </w:r>
    </w:p>
    <w:p>
      <w:pPr>
        <w:pStyle w:val="Compact"/>
        <w:numPr>
          <w:ilvl w:val="0"/>
          <w:numId w:val="1002"/>
        </w:numPr>
      </w:pPr>
      <w:r>
        <w:t xml:space="preserve">The EU welcomes joint declarations and partnerships with Egypt and Mauritania to strengthen strategic and comprehensive partnerships.</w:t>
      </w:r>
    </w:p>
    <w:p>
      <w:pPr>
        <w:pStyle w:val="Compact"/>
        <w:numPr>
          <w:ilvl w:val="0"/>
          <w:numId w:val="1002"/>
        </w:numPr>
      </w:pPr>
      <w:r>
        <w:t xml:space="preserve">]</w:t>
      </w:r>
    </w:p>
    <w:bookmarkEnd w:id="24"/>
    <w:bookmarkStart w:id="25" w:name="commitments"/>
    <w:p>
      <w:pPr>
        <w:pStyle w:val="Heading2"/>
      </w:pPr>
      <w:r>
        <w:t xml:space="preserve">Commitments</w:t>
      </w:r>
    </w:p>
    <w:p>
      <w:pPr>
        <w:pStyle w:val="Compact"/>
        <w:numPr>
          <w:ilvl w:val="0"/>
          <w:numId w:val="1003"/>
        </w:numPr>
      </w:pPr>
      <w:r>
        <w:t xml:space="preserve">The EU is committed to providing Ukraine with one million rounds of artillery ammunition.</w:t>
      </w:r>
    </w:p>
    <w:p>
      <w:pPr>
        <w:pStyle w:val="Compact"/>
        <w:numPr>
          <w:ilvl w:val="0"/>
          <w:numId w:val="1003"/>
        </w:numPr>
      </w:pPr>
      <w:r>
        <w:t xml:space="preserve">The European Council calls on the Council to work on the 8th support package for Ukraine under the European Peace Facility.</w:t>
      </w:r>
    </w:p>
    <w:p>
      <w:pPr>
        <w:pStyle w:val="Compact"/>
        <w:numPr>
          <w:ilvl w:val="0"/>
          <w:numId w:val="1003"/>
        </w:numPr>
      </w:pPr>
      <w:r>
        <w:t xml:space="preserve">The European Council invites the Council and the Commission to explore all options for mobilising funding for the European defence industry and report back by June 2024.</w:t>
      </w:r>
    </w:p>
    <w:p>
      <w:pPr>
        <w:pStyle w:val="Compact"/>
        <w:numPr>
          <w:ilvl w:val="0"/>
          <w:numId w:val="1003"/>
        </w:numPr>
      </w:pPr>
      <w:r>
        <w:t xml:space="preserve">The European Council will adopt conclusions on a roadmap for future work on internal reforms by summer 2024.</w:t>
      </w:r>
    </w:p>
    <w:p>
      <w:pPr>
        <w:pStyle w:val="Compact"/>
        <w:numPr>
          <w:ilvl w:val="0"/>
          <w:numId w:val="1003"/>
        </w:numPr>
      </w:pPr>
      <w:r>
        <w:t xml:space="preserve">The European Council decides to open accession negotiations with Bosnia and Herzegovina once all relevant steps set out in the Commission’s recommendation of 12 October 2022 are taken.</w:t>
      </w:r>
    </w:p>
    <w:p>
      <w:pPr>
        <w:pStyle w:val="Compact"/>
        <w:numPr>
          <w:ilvl w:val="0"/>
          <w:numId w:val="1003"/>
        </w:numPr>
      </w:pPr>
      <w:r>
        <w:t xml:space="preserve">The European Council invites the Council to swiftly adopt the draft negotiating frameworks for Ukraine and the Republic of Moldova and to take work forward without delay.</w:t>
      </w:r>
    </w:p>
    <w:p>
      <w:pPr>
        <w:pStyle w:val="Compact"/>
        <w:numPr>
          <w:ilvl w:val="0"/>
          <w:numId w:val="1003"/>
        </w:numPr>
      </w:pPr>
      <w:r>
        <w:t xml:space="preserve">The European Council welcomes the recent release by the European Union of EUR 20 million in humanitarian support to Haiti.</w:t>
      </w:r>
    </w:p>
    <w:p>
      <w:pPr>
        <w:pStyle w:val="Compact"/>
        <w:numPr>
          <w:ilvl w:val="0"/>
          <w:numId w:val="1003"/>
        </w:numPr>
      </w:pPr>
      <w:r>
        <w:t xml:space="preserve">The European Council calls on the Commission and the High Representative to take necessary steps to prevent the execution by third countries of arrest warrants issued by Russia against EU citizens.</w:t>
      </w:r>
    </w:p>
    <w:p>
      <w:pPr>
        <w:pStyle w:val="Compact"/>
        <w:numPr>
          <w:ilvl w:val="0"/>
          <w:numId w:val="1003"/>
        </w:numPr>
      </w:pPr>
      <w:r>
        <w:t xml:space="preserve">The European Council calls on the Commission and the Council to take work forward without delay on short- and medium-term measures to support farmers, including extending the temporary framework on State aid, and report back to the next European Council.</w:t>
      </w:r>
    </w:p>
    <w:p>
      <w:pPr>
        <w:pStyle w:val="Compact"/>
        <w:numPr>
          <w:ilvl w:val="0"/>
          <w:numId w:val="1003"/>
        </w:numPr>
      </w:pPr>
      <w:r>
        <w:t xml:space="preserve">The European Council invites the Council to take work forward and the Commission together with the High Representative to propose actions to strengthen preparedness and crisis response at EU level with a view to a future preparedness strategy.</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2025-06-19T17:49:44Z</dcterms:created>
  <dcterms:modified xsi:type="dcterms:W3CDTF">2025-06-19T17:49:44Z</dcterms:modified>
</cp:coreProperties>
</file>

<file path=docProps/custom.xml><?xml version="1.0" encoding="utf-8"?>
<Properties xmlns="http://schemas.openxmlformats.org/officeDocument/2006/custom-properties" xmlns:vt="http://schemas.openxmlformats.org/officeDocument/2006/docPropsVTypes"/>
</file>