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fa91c06140965f273554972916666ff53b8c02"/>
    <w:p>
      <w:pPr>
        <w:pStyle w:val="Heading1"/>
      </w:pPr>
      <w:r>
        <w:t xml:space="preserve">EuroLat Resolution on International Cooperation and Multilateralism in a COVID-19 Context (27 July 2023)</w:t>
      </w:r>
    </w:p>
    <w:p>
      <w:pPr>
        <w:pStyle w:val="FirstParagraph"/>
      </w:pPr>
      <w:r>
        <w:rPr>
          <w:b/>
          <w:bCs/>
        </w:rPr>
        <w:t xml:space="preserve">Date</w:t>
      </w:r>
      <w:r>
        <w:t xml:space="preserve">: 2023-07-27</w:t>
      </w:r>
    </w:p>
    <w:p>
      <w:pPr>
        <w:pStyle w:val="BodyText"/>
      </w:pPr>
      <w:r>
        <w:rPr>
          <w:b/>
          <w:bCs/>
        </w:rPr>
        <w:t xml:space="preserve">Location</w:t>
      </w:r>
      <w:r>
        <w:t xml:space="preserve">: Madrid, Spain</w:t>
      </w:r>
    </w:p>
    <w:bookmarkStart w:id="20" w:name="executive-summary"/>
    <w:p>
      <w:pPr>
        <w:pStyle w:val="Heading2"/>
      </w:pPr>
      <w:r>
        <w:t xml:space="preserve">Executive Summary</w:t>
      </w:r>
    </w:p>
    <w:p>
      <w:pPr>
        <w:pStyle w:val="FirstParagraph"/>
      </w:pPr>
      <w:r>
        <w:t xml:space="preserve">The Euro-Latin American Parliamentary Assembly’s July 2023 resolution underscores the critical importance of international cooperation and multilateralism in addressing global challenges highlighted by the COVID-19 pandemic. The resolution reaffirms commitment to the UN Charter and Sustainable Development Goals, noting that the pandemic exposed both the necessity and complexity of global collaboration, especially amid rising nationalism and geopolitical competition. Key recommendations include strengthening global health systems, supporting equitable vaccine access, enhancing research and production capacities, and advancing a Pandemic Treaty. The Assembly calls for deeper EU-Latin America and Caribbean cooperation, integration of health and environmental policies, and prioritization of poverty reduction, gender equality, and sustainable development. It advocates for innovative funding mechanisms, such as Special Drawing Rights, and urges ratification of association agreements to foster inclusive recovery and resilience against future crises.</w:t>
      </w:r>
    </w:p>
    <w:bookmarkEnd w:id="20"/>
    <w:bookmarkStart w:id="21" w:name="characteristics"/>
    <w:p>
      <w:pPr>
        <w:pStyle w:val="Heading2"/>
      </w:pPr>
      <w:r>
        <w:t xml:space="preserve">Characteristics</w:t>
      </w:r>
    </w:p>
    <w:p>
      <w:pPr>
        <w:pStyle w:val="Compact"/>
        <w:numPr>
          <w:ilvl w:val="0"/>
          <w:numId w:val="1001"/>
        </w:numPr>
      </w:pPr>
      <w:r>
        <w:t xml:space="preserve">Emphasises the need for renewed, effective international cooperation and multilateralism to address global challenges highlighted by COVID-19, including health, economic recovery, and climate change.</w:t>
      </w:r>
    </w:p>
    <w:p>
      <w:pPr>
        <w:pStyle w:val="Compact"/>
        <w:numPr>
          <w:ilvl w:val="0"/>
          <w:numId w:val="1001"/>
        </w:numPr>
      </w:pPr>
      <w:r>
        <w:t xml:space="preserve">Recognises the importance of strengthening public administrations, involving civil society and private enterprise, and adapting national health systems for future pandemic preparedness.</w:t>
      </w:r>
    </w:p>
    <w:p>
      <w:pPr>
        <w:pStyle w:val="Compact"/>
        <w:numPr>
          <w:ilvl w:val="0"/>
          <w:numId w:val="1001"/>
        </w:numPr>
      </w:pPr>
      <w:r>
        <w:t xml:space="preserve">Calls for fair and equitable access to vaccines and medical supplies, reduction of trade barriers, and increased research and production capacity, especially in developing regions.</w:t>
      </w:r>
    </w:p>
    <w:p>
      <w:pPr>
        <w:pStyle w:val="Compact"/>
        <w:numPr>
          <w:ilvl w:val="0"/>
          <w:numId w:val="1001"/>
        </w:numPr>
      </w:pPr>
      <w:r>
        <w:t xml:space="preserve">Stresses the value of bi-regional EU-Latin America/Caribbean cooperation, including trade, association agreements, and parliamentary diplomacy, to drive recovery and address shared challenges.</w:t>
      </w:r>
    </w:p>
    <w:p>
      <w:pPr>
        <w:pStyle w:val="Compact"/>
        <w:numPr>
          <w:ilvl w:val="0"/>
          <w:numId w:val="1001"/>
        </w:numPr>
      </w:pPr>
      <w:r>
        <w:t xml:space="preserve">Highlights the need to address rising nationalism, poverty, and inequality exacerbated by the pandemic, and to integrate gender equality and support for vulnerable groups in recovery efforts.</w:t>
      </w:r>
    </w:p>
    <w:p>
      <w:pPr>
        <w:pStyle w:val="Compact"/>
        <w:numPr>
          <w:ilvl w:val="0"/>
          <w:numId w:val="1001"/>
        </w:numPr>
      </w:pPr>
      <w:r>
        <w:t xml:space="preserve">Urges ratification of association agreements, promotion of South-South and triangular cooperation, and adaptation of EU development aid to the new post-pandemic context.</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Policy Level Representatives; Community of Latin American and Caribbean States; Southern Common Market; European Union; EU Member States; European Parliament; European Commission; United Nations; United Nations Officials; Organisation of Ibero-American States</w:t>
            </w:r>
          </w:p>
        </w:tc>
      </w:tr>
      <w:tr>
        <w:tc>
          <w:tcPr/>
          <w:p>
            <w:pPr>
              <w:pStyle w:val="Compact"/>
            </w:pPr>
            <w:r>
              <w:t xml:space="preserve">Research and Innovation Actors</w:t>
            </w:r>
          </w:p>
        </w:tc>
        <w:tc>
          <w:tcPr/>
          <w:p>
            <w:pPr>
              <w:pStyle w:val="Compact"/>
            </w:pPr>
            <w:r>
              <w:t xml:space="preserve">Researchers; Research Performing Organisations; Academic Institutions</w:t>
            </w:r>
          </w:p>
        </w:tc>
      </w:tr>
      <w:tr>
        <w:tc>
          <w:tcPr/>
          <w:p>
            <w:pPr>
              <w:pStyle w:val="Compact"/>
            </w:pPr>
            <w:r>
              <w:t xml:space="preserve">Economic Actors</w:t>
            </w:r>
          </w:p>
        </w:tc>
        <w:tc>
          <w:tcPr/>
          <w:p>
            <w:pPr>
              <w:pStyle w:val="Compact"/>
            </w:pPr>
            <w:r>
              <w:t xml:space="preserve">Organisation for Economic Cooperation and Development; Private Sector Representatives; Industry Actors; Inter-American Development Bank; Development Bank of Latin America and the Caribbean; Central American Bank for Economic Integration; World Bank</w:t>
            </w:r>
          </w:p>
        </w:tc>
      </w:tr>
      <w:tr>
        <w:tc>
          <w:tcPr/>
          <w:p>
            <w:pPr>
              <w:pStyle w:val="Compact"/>
            </w:pPr>
            <w:r>
              <w:t xml:space="preserve">Civil Society Actors</w:t>
            </w:r>
          </w:p>
        </w:tc>
        <w:tc>
          <w:tcPr/>
          <w:p>
            <w:pPr>
              <w:pStyle w:val="Compact"/>
            </w:pPr>
            <w:r>
              <w:t xml:space="preserve">Civil Society Organisations; Non-governmental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 Bi-regional Cooperation; EU-LAC Digital Alliance; Digital &amp; Technological Partnerships</w:t>
            </w:r>
          </w:p>
        </w:tc>
      </w:tr>
      <w:tr>
        <w:tc>
          <w:tcPr/>
          <w:p>
            <w:pPr>
              <w:pStyle w:val="Compact"/>
            </w:pPr>
            <w:r>
              <w:t xml:space="preserve">Digital Transformation &amp; Strategy</w:t>
            </w:r>
          </w:p>
        </w:tc>
        <w:tc>
          <w:tcPr/>
          <w:p>
            <w:pPr>
              <w:pStyle w:val="Compact"/>
            </w:pPr>
            <w:r>
              <w:t xml:space="preserve">Digital Acceleration; Digital Policy; Digital Ecosystem</w:t>
            </w:r>
          </w:p>
        </w:tc>
      </w:tr>
      <w:tr>
        <w:tc>
          <w:tcPr/>
          <w:p>
            <w:pPr>
              <w:pStyle w:val="Compact"/>
            </w:pPr>
            <w:r>
              <w:t xml:space="preserve">Technology &amp; Innovation</w:t>
            </w:r>
          </w:p>
        </w:tc>
        <w:tc>
          <w:tcPr/>
          <w:p>
            <w:pPr>
              <w:pStyle w:val="Compact"/>
            </w:pPr>
            <w:r>
              <w:t xml:space="preserve">Tech-Driven Solutions</w:t>
            </w:r>
          </w:p>
        </w:tc>
      </w:tr>
      <w:tr>
        <w:tc>
          <w:tcPr/>
          <w:p>
            <w:pPr>
              <w:pStyle w:val="Compact"/>
            </w:pPr>
            <w:r>
              <w:t xml:space="preserve">Inclusion &amp; Social Development</w:t>
            </w:r>
          </w:p>
        </w:tc>
        <w:tc>
          <w:tcPr/>
          <w:p>
            <w:pPr>
              <w:pStyle w:val="Compact"/>
            </w:pPr>
            <w:r>
              <w:t xml:space="preserve">Digital Inclusion; Sustainable Digital Development; Gender Equality in Tech</w:t>
            </w:r>
          </w:p>
        </w:tc>
      </w:tr>
    </w:tbl>
    <w:bookmarkEnd w:id="23"/>
    <w:bookmarkStart w:id="24" w:name="practical-applications"/>
    <w:p>
      <w:pPr>
        <w:pStyle w:val="Heading2"/>
      </w:pPr>
      <w:r>
        <w:t xml:space="preserve">Practical Applications</w:t>
      </w:r>
    </w:p>
    <w:p>
      <w:pPr>
        <w:pStyle w:val="Compact"/>
        <w:numPr>
          <w:ilvl w:val="0"/>
          <w:numId w:val="1002"/>
        </w:numPr>
      </w:pPr>
      <w:r>
        <w:t xml:space="preserve">The European Union participated in and supported the COVAX mechanism, a multilateral initiative to ensure fair and equitable access to COVID-19 treatments and vaccines.</w:t>
      </w:r>
    </w:p>
    <w:p>
      <w:pPr>
        <w:pStyle w:val="Compact"/>
        <w:numPr>
          <w:ilvl w:val="0"/>
          <w:numId w:val="1002"/>
        </w:numPr>
      </w:pPr>
      <w:r>
        <w:t xml:space="preserve">The EU implemented the Team Europe initiative, a coordinated response involving EU institutions, Member States, and European financial institutions to address the health, economic, and social challenges created by the COVID-19 pandemic in partner countries.</w:t>
      </w:r>
    </w:p>
    <w:p>
      <w:pPr>
        <w:pStyle w:val="Compact"/>
        <w:numPr>
          <w:ilvl w:val="0"/>
          <w:numId w:val="1002"/>
        </w:numPr>
      </w:pPr>
      <w:r>
        <w:t xml:space="preserve">Ongoing negotiations at the World Health Organization (WHO) to establish a Pandemic Treaty, with EU and Latin American and Caribbean countries supporting the process to better prepare for future pandemics and define strong cooperation mechanisms.</w:t>
      </w:r>
    </w:p>
    <w:p>
      <w:pPr>
        <w:pStyle w:val="Compact"/>
        <w:numPr>
          <w:ilvl w:val="0"/>
          <w:numId w:val="1002"/>
        </w:numPr>
      </w:pPr>
      <w:r>
        <w:t xml:space="preserve">The EU has established the Neighbourhood, Development and International Cooperation Instrument – Global Europe (Regulation (EU) 2021/947), which provides a funding mechanism for international cooperation, including pandemic response and recovery.</w:t>
      </w:r>
    </w:p>
    <w:p>
      <w:pPr>
        <w:pStyle w:val="Compact"/>
        <w:numPr>
          <w:ilvl w:val="0"/>
          <w:numId w:val="1002"/>
        </w:numPr>
      </w:pPr>
      <w:r>
        <w:t xml:space="preserve">The EU and Latin American and Caribbean countries are actively working on the ratification and implementation of association agreements with Mercosur, Chile, and Mexico to promote bi-regional alliances and cooperation.</w:t>
      </w:r>
    </w:p>
    <w:p>
      <w:pPr>
        <w:pStyle w:val="Compact"/>
        <w:numPr>
          <w:ilvl w:val="0"/>
          <w:numId w:val="1002"/>
        </w:numPr>
      </w:pPr>
      <w:r>
        <w:t xml:space="preserve">There are new initiatives for regional health cooperation, such as the establishment of a transnational institute for infectious diseases.</w:t>
      </w:r>
    </w:p>
    <w:p>
      <w:pPr>
        <w:pStyle w:val="Compact"/>
        <w:numPr>
          <w:ilvl w:val="0"/>
          <w:numId w:val="1002"/>
        </w:numPr>
      </w:pPr>
      <w:r>
        <w:t xml:space="preserve">The use of Special Drawing Rights (SDRs) is being considered by governments and the Organization of American States (OAS) as an innovative funding source to foster social and economic recovery post-COVID-19 and to support climate change adaptation and resilience in Latin America.</w:t>
      </w:r>
    </w:p>
    <w:p>
      <w:pPr>
        <w:pStyle w:val="Compact"/>
        <w:numPr>
          <w:ilvl w:val="0"/>
          <w:numId w:val="1002"/>
        </w:numPr>
      </w:pPr>
      <w:r>
        <w:t xml:space="preserve">The Alliance for Multilateralism, established in 2019, continues to function as a platform for international cooperation on strategic issues, including pandemic response.</w:t>
      </w:r>
    </w:p>
    <w:p>
      <w:pPr>
        <w:pStyle w:val="Compact"/>
        <w:numPr>
          <w:ilvl w:val="0"/>
          <w:numId w:val="1002"/>
        </w:numPr>
      </w:pPr>
      <w:r>
        <w:t xml:space="preserve">The European Commission and the Pan American Health Organization have played key roles in planning, adopting, and implementing global coordinated responses to COVID-19 and other health threats.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2025-06-11T17:50:17Z</dcterms:created>
  <dcterms:modified xsi:type="dcterms:W3CDTF">2025-06-11T17:50:17Z</dcterms:modified>
</cp:coreProperties>
</file>

<file path=docProps/custom.xml><?xml version="1.0" encoding="utf-8"?>
<Properties xmlns="http://schemas.openxmlformats.org/officeDocument/2006/custom-properties" xmlns:vt="http://schemas.openxmlformats.org/officeDocument/2006/docPropsVTypes"/>
</file>