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b94ae17f319396e5114a270e54ee649d66d914"/>
    <w:p>
      <w:pPr>
        <w:pStyle w:val="Heading1"/>
      </w:pPr>
      <w:r>
        <w:t xml:space="preserve">Diagnosis of Indicator Production Capacities in Higher Education, Science, and Technology in Ibero-America (FORCYT Executive Summary)</w:t>
      </w:r>
    </w:p>
    <w:p>
      <w:pPr>
        <w:pStyle w:val="FirstParagraph"/>
      </w:pPr>
      <w:r>
        <w:rPr>
          <w:b/>
          <w:bCs/>
        </w:rPr>
        <w:t xml:space="preserve">Date</w:t>
      </w:r>
      <w:r>
        <w:t xml:space="preserve">: 2022-01</w:t>
      </w:r>
    </w:p>
    <w:p>
      <w:pPr>
        <w:pStyle w:val="BodyText"/>
      </w:pPr>
      <w:r>
        <w:rPr>
          <w:b/>
          <w:bCs/>
        </w:rPr>
        <w:t xml:space="preserve">Location</w:t>
      </w:r>
      <w:r>
        <w:t xml:space="preserve">: Madrid, España</w:t>
      </w:r>
    </w:p>
    <w:bookmarkStart w:id="20" w:name="executive-summary"/>
    <w:p>
      <w:pPr>
        <w:pStyle w:val="Heading2"/>
      </w:pPr>
      <w:r>
        <w:t xml:space="preserve">Executive Summary</w:t>
      </w:r>
    </w:p>
    <w:p>
      <w:pPr>
        <w:pStyle w:val="FirstParagraph"/>
      </w:pPr>
      <w:r>
        <w:t xml:space="preserve">The FORCYT program’s executive summary assesses the capacities for producing higher education, science, and technology indicators in Ibero-America. Over recent decades, Latin American countries have made sustained progress in developing and professionalizing national and regional science and technology statistics, driven by both national efforts and regional cooperation, notably through RICYT. However, systems remain heterogeneous, with disparities in resources, institutional support, and data quality—especially in the private sector and non-university higher education. Key challenges include limited legal authority to collect data, insufficient and unstable technical staff, and operational and methodological difficulties. Communication of indicators has improved with digitalization, but accessibility and user understanding vary. The report highlights the need for further development of advanced indicators (e.g., internationalization, equity, innovation), greater integration of data sources, and enhanced user-oriented communication, emphasizing the importance of ongoing capacity building and regional collaboration.</w:t>
      </w:r>
    </w:p>
    <w:bookmarkEnd w:id="20"/>
    <w:bookmarkStart w:id="21" w:name="characteristics"/>
    <w:p>
      <w:pPr>
        <w:pStyle w:val="Heading2"/>
      </w:pPr>
      <w:r>
        <w:t xml:space="preserve">Characteristics</w:t>
      </w:r>
    </w:p>
    <w:p>
      <w:pPr>
        <w:pStyle w:val="Compact"/>
        <w:numPr>
          <w:ilvl w:val="0"/>
          <w:numId w:val="1001"/>
        </w:numPr>
      </w:pPr>
      <w:r>
        <w:t xml:space="preserve">Progreso sostenido en la producción de indicadores de ciencia, tecnología y educación superior en Iberoamérica, con mejoras en cobertura, profesionalización técnica y desarrollo de nuevos indicadores, impulsados por cooperación regional y nacional.</w:t>
      </w:r>
    </w:p>
    <w:p>
      <w:pPr>
        <w:pStyle w:val="Compact"/>
        <w:numPr>
          <w:ilvl w:val="0"/>
          <w:numId w:val="1001"/>
        </w:numPr>
      </w:pPr>
      <w:r>
        <w:t xml:space="preserve">Los sistemas nacionales muestran heterogeneidad según desarrollo económico, madurez institucional y recursos, pero tienden a converger metodológicamente por estándares internacionales y cooperación regional (ej. RICYT, Red ÍndicES).</w:t>
      </w:r>
    </w:p>
    <w:p>
      <w:pPr>
        <w:pStyle w:val="Compact"/>
        <w:numPr>
          <w:ilvl w:val="0"/>
          <w:numId w:val="1001"/>
        </w:numPr>
      </w:pPr>
      <w:r>
        <w:t xml:space="preserve">Limitaciones comunes incluyen insuficiencia y rotación de personal, recursos financieros y tecnológicos limitados, y débil capacidad legal para exigir datos primarios, lo que obliga a fortalecer relaciones institucionales.</w:t>
      </w:r>
    </w:p>
    <w:p>
      <w:pPr>
        <w:pStyle w:val="Compact"/>
        <w:numPr>
          <w:ilvl w:val="0"/>
          <w:numId w:val="1001"/>
        </w:numPr>
      </w:pPr>
      <w:r>
        <w:t xml:space="preserve">La comunicación y accesibilidad de los indicadores ha mejorado gracias a la digitalización, con productos variados (informes, bases de datos, infografías) y atención a públicos diversos (gobiernos, investigadores, estudiantes, empresas).</w:t>
      </w:r>
    </w:p>
    <w:p>
      <w:pPr>
        <w:pStyle w:val="Compact"/>
        <w:numPr>
          <w:ilvl w:val="0"/>
          <w:numId w:val="1001"/>
        </w:numPr>
      </w:pPr>
      <w:r>
        <w:t xml:space="preserve">Dificultades específicas persisten en la cobertura de datos del sector privado, educación superior no universitaria, y en la elaboración de indicadores avanzados (internacionalización, vinculación, equidad), así como en la integración y estandarización de fuentes de datos.</w:t>
      </w:r>
    </w:p>
    <w:p>
      <w:pPr>
        <w:pStyle w:val="Compact"/>
        <w:numPr>
          <w:ilvl w:val="0"/>
          <w:numId w:val="1001"/>
        </w:numPr>
      </w:pPr>
      <w:r>
        <w:t xml:space="preserve">Facilitadores clave son la cooperación internacional, la capacitación técnica, el uso de tecnologías de la información y la publicación de metadatos y glosarios para mejorar la interpretación y el uso de los datos estadísticos.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Organisation of Ibero-American States; European Union; Governments; Government Officials</w:t>
            </w:r>
          </w:p>
        </w:tc>
      </w:tr>
      <w:tr>
        <w:tc>
          <w:tcPr/>
          <w:p>
            <w:pPr>
              <w:pStyle w:val="Compact"/>
            </w:pPr>
            <w:r>
              <w:t xml:space="preserve">Research and Innovation Actors</w:t>
            </w:r>
          </w:p>
        </w:tc>
        <w:tc>
          <w:tcPr/>
          <w:p>
            <w:pPr>
              <w:pStyle w:val="Compact"/>
            </w:pPr>
            <w:r>
              <w:t xml:space="preserve">Universities; Academic Institutions; Researchers; Research Performing Organisations; EU-LAC Foundation</w:t>
            </w:r>
          </w:p>
        </w:tc>
      </w:tr>
      <w:tr>
        <w:tc>
          <w:tcPr/>
          <w:p>
            <w:pPr>
              <w:pStyle w:val="Compact"/>
            </w:pPr>
            <w:r>
              <w:t xml:space="preserve">Economic Actors</w:t>
            </w:r>
          </w:p>
        </w:tc>
        <w:tc>
          <w:tcPr/>
          <w:p>
            <w:pPr>
              <w:pStyle w:val="Compact"/>
            </w:pPr>
            <w:r>
              <w:t xml:space="preserve">Private Sector Representatives; Industry Actors; Research Funding Organisations</w:t>
            </w:r>
          </w:p>
        </w:tc>
      </w:tr>
      <w:tr>
        <w:tc>
          <w:tcPr/>
          <w:p>
            <w:pPr>
              <w:pStyle w:val="Compact"/>
            </w:pPr>
            <w:r>
              <w:t xml:space="preserve">Civil Society Actors</w:t>
            </w:r>
          </w:p>
        </w:tc>
        <w:tc>
          <w:tcPr/>
          <w:p>
            <w:pPr>
              <w:pStyle w:val="Compact"/>
            </w:pPr>
            <w:r>
              <w:t xml:space="preserve">Non-governmental Institutions; Civil Society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Data &amp; Governance</w:t>
            </w:r>
          </w:p>
        </w:tc>
        <w:tc>
          <w:tcPr/>
          <w:p>
            <w:pPr>
              <w:pStyle w:val="Compact"/>
            </w:pPr>
            <w:r>
              <w:t xml:space="preserve">Data Governance; Digital Governance; Digital Access</w:t>
            </w:r>
          </w:p>
        </w:tc>
      </w:tr>
      <w:tr>
        <w:tc>
          <w:tcPr/>
          <w:p>
            <w:pPr>
              <w:pStyle w:val="Compact"/>
            </w:pPr>
            <w:r>
              <w:t xml:space="preserve">Digital Transformation &amp; Strategy</w:t>
            </w:r>
          </w:p>
        </w:tc>
        <w:tc>
          <w:tcPr/>
          <w:p>
            <w:pPr>
              <w:pStyle w:val="Compact"/>
            </w:pPr>
            <w:r>
              <w:t xml:space="preserve">Digital Agenda; Digital Research; Digital Skills Development; Digital Infrastructure; Digital Ecosystem</w:t>
            </w:r>
          </w:p>
        </w:tc>
      </w:tr>
      <w:tr>
        <w:tc>
          <w:tcPr/>
          <w:p>
            <w:pPr>
              <w:pStyle w:val="Compact"/>
            </w:pPr>
            <w:r>
              <w:t xml:space="preserve">Regional &amp; International Cooperation</w:t>
            </w:r>
          </w:p>
        </w:tc>
        <w:tc>
          <w:tcPr/>
          <w:p>
            <w:pPr>
              <w:pStyle w:val="Compact"/>
            </w:pPr>
            <w:r>
              <w:t xml:space="preserve">Bi-regional Cooperation;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The FORCYT program supports the ongoing production and improvement of science, technology, and higher education indicators in Ibero-America, with active participation from national offices and the Ibero-American Network of Science and Technology Indicators (RICYT).</w:t>
      </w:r>
    </w:p>
    <w:p>
      <w:pPr>
        <w:pStyle w:val="Compact"/>
        <w:numPr>
          <w:ilvl w:val="0"/>
          <w:numId w:val="1002"/>
        </w:numPr>
      </w:pPr>
      <w:r>
        <w:t xml:space="preserve">National and regional cooperation through RICYT has established a community of practice among officials, specialists, and decision-makers, leading to sustained improvements in indicator production and interpretation.</w:t>
      </w:r>
    </w:p>
    <w:p>
      <w:pPr>
        <w:pStyle w:val="Compact"/>
        <w:numPr>
          <w:ilvl w:val="0"/>
          <w:numId w:val="1002"/>
        </w:numPr>
      </w:pPr>
      <w:r>
        <w:t xml:space="preserve">Many national offices of science and technology statistics are integrated into ministries or secretariats responsible for science and technology policy, and maintain institutional relationships with other relevant agencies, such as those for higher education.</w:t>
      </w:r>
    </w:p>
    <w:p>
      <w:pPr>
        <w:pStyle w:val="Compact"/>
        <w:numPr>
          <w:ilvl w:val="0"/>
          <w:numId w:val="1002"/>
        </w:numPr>
      </w:pPr>
      <w:r>
        <w:t xml:space="preserve">The Observatorio Colombiano de Ciencia y Tecnología operates as a mixed civil association with state participation, serving as a model for institutional arrangements in indicator production.</w:t>
      </w:r>
    </w:p>
    <w:p>
      <w:pPr>
        <w:pStyle w:val="Compact"/>
        <w:numPr>
          <w:ilvl w:val="0"/>
          <w:numId w:val="1002"/>
        </w:numPr>
      </w:pPr>
      <w:r>
        <w:t xml:space="preserve">Offices of statistics in science and technology and higher education regularly publish annual reports, statistical tables, and datasets online, often in PDF and spreadsheet formats, with some offering infographics, maps, and interactive platforms for data consultation and download.</w:t>
      </w:r>
    </w:p>
    <w:p>
      <w:pPr>
        <w:pStyle w:val="Compact"/>
        <w:numPr>
          <w:ilvl w:val="0"/>
          <w:numId w:val="1002"/>
        </w:numPr>
      </w:pPr>
      <w:r>
        <w:t xml:space="preserve">RICYT annually publishes</w:t>
      </w:r>
      <w:r>
        <w:t xml:space="preserve"> </w:t>
      </w:r>
      <w:r>
        <w:t xml:space="preserve">“El estado de la ciencia,”</w:t>
      </w:r>
      <w:r>
        <w:t xml:space="preserve"> </w:t>
      </w:r>
      <w:r>
        <w:t xml:space="preserve">a comprehensive report on science, technology, and innovation indicators, available in print and open-access digital formats, and provides a web platform with dynamic data exploration tools and downloadable datasets.</w:t>
      </w:r>
    </w:p>
    <w:p>
      <w:pPr>
        <w:pStyle w:val="Compact"/>
        <w:numPr>
          <w:ilvl w:val="0"/>
          <w:numId w:val="1002"/>
        </w:numPr>
      </w:pPr>
      <w:r>
        <w:t xml:space="preserve">The Red ÍndicES (Network of Higher Education Indicators) has been established to standardize and improve the production of higher education statistics across the region, facilitating exchange and development of new indicators, including those on internationalization.</w:t>
      </w:r>
    </w:p>
    <w:p>
      <w:pPr>
        <w:pStyle w:val="Compact"/>
        <w:numPr>
          <w:ilvl w:val="0"/>
          <w:numId w:val="1002"/>
        </w:numPr>
      </w:pPr>
      <w:r>
        <w:t xml:space="preserve">Several countries (e.g., Brazil, Costa Rica, Mexico, Uruguay) provide high levels of data accessibility, including downloadable datasets, access to microdata, publication of metadata, and user support services.</w:t>
      </w:r>
    </w:p>
    <w:p>
      <w:pPr>
        <w:pStyle w:val="Compact"/>
        <w:numPr>
          <w:ilvl w:val="0"/>
          <w:numId w:val="1002"/>
        </w:numPr>
      </w:pPr>
      <w:r>
        <w:t xml:space="preserve">Most countries in the region have implemented legal frameworks guaranteeing public access to information, and national offices have improved mechanisms for data access and user support.</w:t>
      </w:r>
    </w:p>
    <w:p>
      <w:pPr>
        <w:pStyle w:val="Compact"/>
        <w:numPr>
          <w:ilvl w:val="0"/>
          <w:numId w:val="1002"/>
        </w:numPr>
      </w:pPr>
      <w:r>
        <w:t xml:space="preserve">Some countries have developed systems for collecting nominal (individual-level) data on students, graduates, and staff, enabling longitudinal tracking and integration with other state databases.</w:t>
      </w:r>
    </w:p>
    <w:p>
      <w:pPr>
        <w:pStyle w:val="Compact"/>
        <w:numPr>
          <w:ilvl w:val="0"/>
          <w:numId w:val="1002"/>
        </w:numPr>
      </w:pPr>
      <w:r>
        <w:t xml:space="preserve">National offices provide user support through telephone, email, and, in some cases, automated query systems, and generally allow unrestricted reuse of published data, subject to statistical confidentiality and source citation.</w:t>
      </w:r>
    </w:p>
    <w:p>
      <w:pPr>
        <w:pStyle w:val="Compact"/>
        <w:numPr>
          <w:ilvl w:val="0"/>
          <w:numId w:val="1002"/>
        </w:numPr>
      </w:pPr>
      <w:r>
        <w:t xml:space="preserve">There is ongoing development of new indicators in areas such as internationalization, equity, and university-society linkages, with the Red ÍndicES actively working on these topics.</w:t>
      </w:r>
    </w:p>
    <w:p>
      <w:pPr>
        <w:pStyle w:val="Compact"/>
        <w:numPr>
          <w:ilvl w:val="0"/>
          <w:numId w:val="1002"/>
        </w:numPr>
      </w:pPr>
      <w:r>
        <w:t xml:space="preserve">Capacity-building and technical training activities are regularly identified and, in some cases, implemented to strengthen methodological skills, data processing, and the use of big data and impact studies among technical staff.</w:t>
      </w:r>
    </w:p>
    <w:p>
      <w:pPr>
        <w:pStyle w:val="Compact"/>
        <w:numPr>
          <w:ilvl w:val="0"/>
          <w:numId w:val="1002"/>
        </w:numPr>
      </w:pPr>
      <w:r>
        <w:t xml:space="preserve">Many countries have diversified their communication products to reach different audiences, including specialized reports, infographics, videos, and platforms for self-service data queries.</w:t>
      </w:r>
    </w:p>
    <w:p>
      <w:pPr>
        <w:pStyle w:val="Compact"/>
        <w:numPr>
          <w:ilvl w:val="0"/>
          <w:numId w:val="1002"/>
        </w:numPr>
      </w:pPr>
      <w:r>
        <w:t xml:space="preserve">The RICYT web platform offers comparative tables, dynamic reports, country infographics, and a data explorer application for custom visualizations, supporting broad and flexible data use.</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2025-06-11T18:00:53Z</dcterms:created>
  <dcterms:modified xsi:type="dcterms:W3CDTF">2025-06-11T18:00:53Z</dcterms:modified>
</cp:coreProperties>
</file>

<file path=docProps/custom.xml><?xml version="1.0" encoding="utf-8"?>
<Properties xmlns="http://schemas.openxmlformats.org/officeDocument/2006/custom-properties" xmlns:vt="http://schemas.openxmlformats.org/officeDocument/2006/docPropsVTypes"/>
</file>