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3ea4e9b8a625e00fc151c9bfc6b51812009e024"/>
    <w:p>
      <w:pPr>
        <w:pStyle w:val="Heading1"/>
      </w:pPr>
      <w:r>
        <w:t xml:space="preserve">European Commission Work Programme 2023: A Union Standing Firm and United</w:t>
      </w:r>
    </w:p>
    <w:p>
      <w:pPr>
        <w:pStyle w:val="FirstParagraph"/>
      </w:pPr>
      <w:r>
        <w:rPr>
          <w:b/>
          <w:bCs/>
        </w:rPr>
        <w:t xml:space="preserve">Date</w:t>
      </w:r>
      <w:r>
        <w:t xml:space="preserve">: 2022-10-18</w:t>
      </w:r>
    </w:p>
    <w:p>
      <w:pPr>
        <w:pStyle w:val="BodyText"/>
      </w:pPr>
      <w:r>
        <w:rPr>
          <w:b/>
          <w:bCs/>
        </w:rPr>
        <w:t xml:space="preserve">Location</w:t>
      </w:r>
      <w:r>
        <w:t xml:space="preserve">: Strasbourg, France</w:t>
      </w:r>
    </w:p>
    <w:bookmarkStart w:id="20" w:name="executive-summary"/>
    <w:p>
      <w:pPr>
        <w:pStyle w:val="Heading2"/>
      </w:pPr>
      <w:r>
        <w:t xml:space="preserve">Executive Summary</w:t>
      </w:r>
    </w:p>
    <w:p>
      <w:pPr>
        <w:pStyle w:val="FirstParagraph"/>
      </w:pPr>
      <w:r>
        <w:t xml:space="preserve">The European Commission’s 2023 Work Programme, presented against the backdrop of Russia’s invasion of Ukraine and global crises, emphasizes unity, resilience, and accelerated transformation. Key priorities include supporting Ukraine, addressing the energy and cost-of-living crises, and safeguarding the EU’s single market. The programme advances the European Green Deal, digital transformation, and economic security, while reinforcing social protections and the rule of law. It builds on citizen input from the Conference on the Future of Europe, focusing on sustainability, digitalization, and democratic engagement. Major initiatives target climate action, energy reform, food security, digital skills, and strategic autonomy. The Commission also commits to strengthening external partnerships, humanitarian aid, and EU enlargement. Implementation, better regulation, and enforcement of EU law remain central to delivering tangible benefits for citizens and ensuring the EU’s global leadership and internal cohesion.</w:t>
      </w:r>
    </w:p>
    <w:bookmarkEnd w:id="20"/>
    <w:bookmarkStart w:id="21" w:name="characteristics"/>
    <w:p>
      <w:pPr>
        <w:pStyle w:val="Heading2"/>
      </w:pPr>
      <w:r>
        <w:t xml:space="preserve">Characteristics</w:t>
      </w:r>
    </w:p>
    <w:p>
      <w:pPr>
        <w:pStyle w:val="Compact"/>
        <w:numPr>
          <w:ilvl w:val="0"/>
          <w:numId w:val="1001"/>
        </w:numPr>
      </w:pPr>
      <w:r>
        <w:t xml:space="preserve">Emphasis on Unity and Solidarity: The programme highlights the EU’s collective response to crises (e.g., Russian invasion of Ukraine, energy crisis, COVID-19), stressing the need for unity, fast reactions, and solidarity among Member States.</w:t>
      </w:r>
    </w:p>
    <w:p>
      <w:pPr>
        <w:pStyle w:val="Compact"/>
        <w:numPr>
          <w:ilvl w:val="0"/>
          <w:numId w:val="1001"/>
        </w:numPr>
      </w:pPr>
      <w:r>
        <w:t xml:space="preserve">Six Headline Ambitions: The work programme is structured around six priorities: the European Green Deal, digital transformation, an economy that works for people, a stronger Europe in the world, promoting the European way of life, and a new push for European democracy.</w:t>
      </w:r>
    </w:p>
    <w:p>
      <w:pPr>
        <w:pStyle w:val="Compact"/>
        <w:numPr>
          <w:ilvl w:val="0"/>
          <w:numId w:val="1001"/>
        </w:numPr>
      </w:pPr>
      <w:r>
        <w:t xml:space="preserve">Crisis Response and Resilience: Focus on reducing energy dependence, supporting Ukraine, addressing food security, and strengthening critical infrastructure, with continued investment and reforms (e.g., REPowerEU, NextGenerationEU).</w:t>
      </w:r>
    </w:p>
    <w:p>
      <w:pPr>
        <w:pStyle w:val="Compact"/>
        <w:numPr>
          <w:ilvl w:val="0"/>
          <w:numId w:val="1001"/>
        </w:numPr>
      </w:pPr>
      <w:r>
        <w:t xml:space="preserve">Citizen-Centric Democracy: Incorporates outcomes from the Conference on the Future of Europe, increasing citizen participation in policymaking, and introducing citizens’ panels for key initiatives.</w:t>
      </w:r>
    </w:p>
    <w:p>
      <w:pPr>
        <w:pStyle w:val="Compact"/>
        <w:numPr>
          <w:ilvl w:val="0"/>
          <w:numId w:val="1001"/>
        </w:numPr>
      </w:pPr>
      <w:r>
        <w:t xml:space="preserve">Green and Digital Transitions: Accelerates climate action (Fit for 55, biodiversity, circular economy), energy market reform, and digital innovation (Digital Decade, metaverse, critical raw materials), while ensuring social fairness and competitiveness.</w:t>
      </w:r>
    </w:p>
    <w:p>
      <w:pPr>
        <w:pStyle w:val="Compact"/>
        <w:numPr>
          <w:ilvl w:val="0"/>
          <w:numId w:val="1001"/>
        </w:numPr>
      </w:pPr>
      <w:r>
        <w:t xml:space="preserve">Rule of Law, Rights, and Better Regulation: Reinforces democracy, rule of law, media freedom, anti-corruption, and equality, with a focus on better regulation, enforcement of EU law, and reducing administrative burdens, especially for SMEs.</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European Union; EU Member States; European Council; European Parliament; European Commission; United Nations; United Nations Officials</w:t>
            </w:r>
          </w:p>
        </w:tc>
      </w:tr>
      <w:tr>
        <w:tc>
          <w:tcPr/>
          <w:p>
            <w:pPr>
              <w:pStyle w:val="Compact"/>
            </w:pPr>
            <w:r>
              <w:t xml:space="preserve">Economic Actors</w:t>
            </w:r>
          </w:p>
        </w:tc>
        <w:tc>
          <w:tcPr/>
          <w:p>
            <w:pPr>
              <w:pStyle w:val="Compact"/>
            </w:pPr>
            <w:r>
              <w:t xml:space="preserve">Organisation for Economic Cooperation and Development; World Bank; Industry Actors; Private Sector Representatives; Research Funding Organisations</w:t>
            </w:r>
          </w:p>
        </w:tc>
      </w:tr>
      <w:tr>
        <w:tc>
          <w:tcPr/>
          <w:p>
            <w:pPr>
              <w:pStyle w:val="Compact"/>
            </w:pPr>
            <w:r>
              <w:t xml:space="preserve">Civil Society Actors</w:t>
            </w:r>
          </w:p>
        </w:tc>
        <w:tc>
          <w:tcPr/>
          <w:p>
            <w:pPr>
              <w:pStyle w:val="Compact"/>
            </w:pPr>
            <w:r>
              <w:t xml:space="preserve">Civil Society Organisations; Non-governmental Institutions</w:t>
            </w:r>
          </w:p>
        </w:tc>
      </w:tr>
      <w:tr>
        <w:tc>
          <w:tcPr/>
          <w:p>
            <w:pPr>
              <w:pStyle w:val="Compact"/>
            </w:pPr>
            <w:r>
              <w:t xml:space="preserve">Research and Innovation Actors</w:t>
            </w:r>
          </w:p>
        </w:tc>
        <w:tc>
          <w:tcPr/>
          <w:p>
            <w:pPr>
              <w:pStyle w:val="Compact"/>
            </w:pPr>
            <w:r>
              <w:t xml:space="preserve">Universities; Academic Institutions; Researchers; Innovators; Technology Organisations; Knowledge and Innovation Communities; European Institute of Innovation and Technology</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Digital Transformation &amp; Strategy</w:t>
            </w:r>
          </w:p>
        </w:tc>
        <w:tc>
          <w:tcPr/>
          <w:p>
            <w:pPr>
              <w:pStyle w:val="Compact"/>
            </w:pPr>
            <w:r>
              <w:t xml:space="preserve">Digital Agenda; Digital Decade; Digital Acceleration; Digital Platforms; Digital Infrastructure; Digital Policy; Digital Ecosystem; Digital Investment; Digital Regulation; Digital Transitions; Digital Research; Digital Sustainability; Digital Economy; Digital Skills Development</w:t>
            </w:r>
          </w:p>
        </w:tc>
      </w:tr>
      <w:tr>
        <w:tc>
          <w:tcPr/>
          <w:p>
            <w:pPr>
              <w:pStyle w:val="Compact"/>
            </w:pPr>
            <w:r>
              <w:t xml:space="preserve">Technology &amp; Innovation</w:t>
            </w:r>
          </w:p>
        </w:tc>
        <w:tc>
          <w:tcPr/>
          <w:p>
            <w:pPr>
              <w:pStyle w:val="Compact"/>
            </w:pPr>
            <w:r>
              <w:t xml:space="preserve">Artificial Intelligence; Tech-Driven Solutions; ICT Innovation; Cloud Computing; Innovation in Computing; 5G</w:t>
            </w:r>
          </w:p>
        </w:tc>
      </w:tr>
      <w:tr>
        <w:tc>
          <w:tcPr/>
          <w:p>
            <w:pPr>
              <w:pStyle w:val="Compact"/>
            </w:pPr>
            <w:r>
              <w:t xml:space="preserve">Data &amp; Governance</w:t>
            </w:r>
          </w:p>
        </w:tc>
        <w:tc>
          <w:tcPr/>
          <w:p>
            <w:pPr>
              <w:pStyle w:val="Compact"/>
            </w:pPr>
            <w:r>
              <w:t xml:space="preserve">Data Governance; Digital Rights; Digital Governance; Data Protection; Cybersecurity; Cyber Risk Management; Data Privacy; Digital Access; Digital Identity Management; Internet Governance; Digital Ethics; E-Governance</w:t>
            </w:r>
          </w:p>
        </w:tc>
      </w:tr>
      <w:tr>
        <w:tc>
          <w:tcPr/>
          <w:p>
            <w:pPr>
              <w:pStyle w:val="Compact"/>
            </w:pPr>
            <w:r>
              <w:t xml:space="preserve">Inclusion &amp; Social Development</w:t>
            </w:r>
          </w:p>
        </w:tc>
        <w:tc>
          <w:tcPr/>
          <w:p>
            <w:pPr>
              <w:pStyle w:val="Compact"/>
            </w:pPr>
            <w:r>
              <w:t xml:space="preserve">Digital Inclusion; Social Cohesion; Gender Equality in Tech; Digital Education; Connectivity; Sustainable Digital Development</w:t>
            </w:r>
          </w:p>
        </w:tc>
      </w:tr>
      <w:tr>
        <w:tc>
          <w:tcPr/>
          <w:p>
            <w:pPr>
              <w:pStyle w:val="Compact"/>
            </w:pPr>
            <w:r>
              <w:t xml:space="preserve">Regional &amp; International Cooperation</w:t>
            </w:r>
          </w:p>
        </w:tc>
        <w:tc>
          <w:tcPr/>
          <w:p>
            <w:pPr>
              <w:pStyle w:val="Compact"/>
            </w:pPr>
            <w:r>
              <w:t xml:space="preserve">EU-LAC Digital Alliance; Bi-regional Cooperation; Global Digital Cooperation; Multilateralism; EU-CELAC Digital Partnership; Digital &amp; Technological Partnerships</w:t>
            </w:r>
          </w:p>
        </w:tc>
      </w:tr>
    </w:tbl>
    <w:bookmarkEnd w:id="23"/>
    <w:bookmarkStart w:id="24" w:name="practical-applications"/>
    <w:p>
      <w:pPr>
        <w:pStyle w:val="Heading2"/>
      </w:pPr>
      <w:r>
        <w:t xml:space="preserve">Practical Applications</w:t>
      </w:r>
    </w:p>
    <w:p>
      <w:pPr>
        <w:pStyle w:val="Compact"/>
        <w:numPr>
          <w:ilvl w:val="0"/>
          <w:numId w:val="1002"/>
        </w:numPr>
      </w:pPr>
      <w:r>
        <w:t xml:space="preserve">Implementation of the Gas Storage Regulation, resulting in almost 91% of EU storage capacity being filled and Member States putting in place gas savings plans in line with the European Gas Demand Reduction Plan.</w:t>
      </w:r>
    </w:p>
    <w:p>
      <w:pPr>
        <w:pStyle w:val="Compact"/>
        <w:numPr>
          <w:ilvl w:val="0"/>
          <w:numId w:val="1002"/>
        </w:numPr>
      </w:pPr>
      <w:r>
        <w:t xml:space="preserve">Emergency energy market intervention measures set out by the Commission to tackle dramatic price rises and reduce energy bills for Europeans and European businesses.</w:t>
      </w:r>
    </w:p>
    <w:p>
      <w:pPr>
        <w:pStyle w:val="Compact"/>
        <w:numPr>
          <w:ilvl w:val="0"/>
          <w:numId w:val="1002"/>
        </w:numPr>
      </w:pPr>
      <w:r>
        <w:t xml:space="preserve">REPowerEU plan to reduce Europe’s dependence on Russian energy imports, including outreach to international partners and increased alternative energy supplies.</w:t>
      </w:r>
    </w:p>
    <w:p>
      <w:pPr>
        <w:pStyle w:val="Compact"/>
        <w:numPr>
          <w:ilvl w:val="0"/>
          <w:numId w:val="1002"/>
        </w:numPr>
      </w:pPr>
      <w:r>
        <w:t xml:space="preserve">Mobilisation of over EUR 19 billion by the EU and its Member States to strengthen Ukraine’s economic, social, and financial resilience, and an additional EUR 3.1 billion of military support under the European Peace Facility.</w:t>
      </w:r>
    </w:p>
    <w:p>
      <w:pPr>
        <w:pStyle w:val="Compact"/>
        <w:numPr>
          <w:ilvl w:val="0"/>
          <w:numId w:val="1002"/>
        </w:numPr>
      </w:pPr>
      <w:r>
        <w:t xml:space="preserve">Activation of the Temporary Protection Directive to ensure access to jobs, housing, education, and healthcare for Ukrainians fleeing the war.</w:t>
      </w:r>
    </w:p>
    <w:p>
      <w:pPr>
        <w:pStyle w:val="Compact"/>
        <w:numPr>
          <w:ilvl w:val="0"/>
          <w:numId w:val="1002"/>
        </w:numPr>
      </w:pPr>
      <w:r>
        <w:t xml:space="preserve">Provision of over 70,000 tonnes of aid to Ukraine via the EU Civil Protection Mechanism, including food, water, shelter, energy, and healthcare.</w:t>
      </w:r>
    </w:p>
    <w:p>
      <w:pPr>
        <w:pStyle w:val="Compact"/>
        <w:numPr>
          <w:ilvl w:val="0"/>
          <w:numId w:val="1002"/>
        </w:numPr>
      </w:pPr>
      <w:r>
        <w:t xml:space="preserve">Mobilisation of medical and specialised equipment for public health risks via the Health Emergency and Preparedness Authority (HERA) and rescEU emergency stockpiles.</w:t>
      </w:r>
    </w:p>
    <w:p>
      <w:pPr>
        <w:pStyle w:val="Compact"/>
        <w:numPr>
          <w:ilvl w:val="0"/>
          <w:numId w:val="1002"/>
        </w:numPr>
      </w:pPr>
      <w:r>
        <w:t xml:space="preserve">Implementation of Cohesion’s Action for Refugees in Europe (CARE) and the proposal on FAST-CARE to facilitate the mobilisation of cohesion funds for people fleeing the war.</w:t>
      </w:r>
    </w:p>
    <w:p>
      <w:pPr>
        <w:pStyle w:val="Compact"/>
        <w:numPr>
          <w:ilvl w:val="0"/>
          <w:numId w:val="1002"/>
        </w:numPr>
      </w:pPr>
      <w:r>
        <w:t xml:space="preserve">Provision of EUR 100 million for the rehabilitation of damaged Ukrainian schools.</w:t>
      </w:r>
    </w:p>
    <w:p>
      <w:pPr>
        <w:pStyle w:val="Compact"/>
        <w:numPr>
          <w:ilvl w:val="0"/>
          <w:numId w:val="1002"/>
        </w:numPr>
      </w:pPr>
      <w:r>
        <w:t xml:space="preserve">Operation of ‘Solidarity Lanes’ to allow Ukraine to export grain and other products and import necessary goods, including humanitarian aid and fertilisers.</w:t>
      </w:r>
    </w:p>
    <w:p>
      <w:pPr>
        <w:pStyle w:val="Compact"/>
        <w:numPr>
          <w:ilvl w:val="0"/>
          <w:numId w:val="1002"/>
        </w:numPr>
      </w:pPr>
      <w:r>
        <w:t xml:space="preserve">Mobilisation of EUR 600 million from the European Development Fund to support food security in African, Caribbean, and Pacific countries.</w:t>
      </w:r>
    </w:p>
    <w:p>
      <w:pPr>
        <w:pStyle w:val="Compact"/>
        <w:numPr>
          <w:ilvl w:val="0"/>
          <w:numId w:val="1002"/>
        </w:numPr>
      </w:pPr>
      <w:r>
        <w:t xml:space="preserve">Integration of the United Nations Sustainable Development Goals (SDGs) into the European Semester and mainstreaming in better regulation tools.</w:t>
      </w:r>
    </w:p>
    <w:p>
      <w:pPr>
        <w:pStyle w:val="Compact"/>
        <w:numPr>
          <w:ilvl w:val="0"/>
          <w:numId w:val="1002"/>
        </w:numPr>
      </w:pPr>
      <w:r>
        <w:t xml:space="preserve">Adoption of a proposal to halve pesticide use by 2030 and restore Europe’s damaged ecosystems by 2050.</w:t>
      </w:r>
    </w:p>
    <w:p>
      <w:pPr>
        <w:pStyle w:val="Compact"/>
        <w:numPr>
          <w:ilvl w:val="0"/>
          <w:numId w:val="1002"/>
        </w:numPr>
      </w:pPr>
      <w:r>
        <w:t xml:space="preserve">Creation of a new European Hydrogen Bank to invest EUR 3 billion into kick-starting a hydrogen market in the EU.</w:t>
      </w:r>
    </w:p>
    <w:p>
      <w:pPr>
        <w:pStyle w:val="Compact"/>
        <w:numPr>
          <w:ilvl w:val="0"/>
          <w:numId w:val="1002"/>
        </w:numPr>
      </w:pPr>
      <w:r>
        <w:t xml:space="preserve">Implementation of the ‘one in, one out’ approach to regulation, focusing on reducing costs for citizens and businesses.</w:t>
      </w:r>
    </w:p>
    <w:p>
      <w:pPr>
        <w:pStyle w:val="Compact"/>
        <w:numPr>
          <w:ilvl w:val="0"/>
          <w:numId w:val="1002"/>
        </w:numPr>
      </w:pPr>
      <w:r>
        <w:t xml:space="preserve">Deployment of the ‘Fit for Future’ platform and a high-level group of stakeholders to identify simplification and burden reduction potential in EU legislation.</w:t>
      </w:r>
    </w:p>
    <w:p>
      <w:pPr>
        <w:pStyle w:val="Compact"/>
        <w:numPr>
          <w:ilvl w:val="0"/>
          <w:numId w:val="1002"/>
        </w:numPr>
      </w:pPr>
      <w:r>
        <w:t xml:space="preserve">Implementation of the European Year of Skills 2023 to deliver reskilling and upskilling of the workforce and attract needed skills to Europe.</w:t>
      </w:r>
    </w:p>
    <w:p>
      <w:pPr>
        <w:pStyle w:val="Compact"/>
        <w:numPr>
          <w:ilvl w:val="0"/>
          <w:numId w:val="1002"/>
        </w:numPr>
      </w:pPr>
      <w:r>
        <w:t xml:space="preserve">Ongoing implementation of the Beating Cancer Plan as part of the European Health Union.</w:t>
      </w:r>
    </w:p>
    <w:p>
      <w:pPr>
        <w:pStyle w:val="Compact"/>
        <w:numPr>
          <w:ilvl w:val="0"/>
          <w:numId w:val="1002"/>
        </w:numPr>
      </w:pPr>
      <w:r>
        <w:t xml:space="preserve">Implementation of the HealthyLifestyle4All initiative and its Youth Ideas Labs to promote sport and healthy lifestyles.</w:t>
      </w:r>
    </w:p>
    <w:p>
      <w:pPr>
        <w:pStyle w:val="Compact"/>
        <w:numPr>
          <w:ilvl w:val="0"/>
          <w:numId w:val="1002"/>
        </w:numPr>
      </w:pPr>
      <w:r>
        <w:t xml:space="preserve">Ongoing support for the implementation of the Joint Roadmap on the Pact on Migration and Asylum, including the adoption of all proposals on the table.</w:t>
      </w:r>
    </w:p>
    <w:p>
      <w:pPr>
        <w:pStyle w:val="Compact"/>
        <w:numPr>
          <w:ilvl w:val="0"/>
          <w:numId w:val="1002"/>
        </w:numPr>
      </w:pPr>
      <w:r>
        <w:t xml:space="preserve">Ongoing implementation of the European Democracy Action Plan, including the proposal of the European Media Freedom Act.</w:t>
      </w:r>
    </w:p>
    <w:p>
      <w:pPr>
        <w:pStyle w:val="Compact"/>
        <w:numPr>
          <w:ilvl w:val="0"/>
          <w:numId w:val="1002"/>
        </w:numPr>
      </w:pPr>
      <w:r>
        <w:t xml:space="preserve">Doubling of EU firefighting capacities ahead of the 2023 forest fire season, including the addition of 10 light amphibious aircraft and 3 helicopters to the EU fleet.</w:t>
      </w:r>
    </w:p>
    <w:p>
      <w:pPr>
        <w:pStyle w:val="Compact"/>
        <w:numPr>
          <w:ilvl w:val="0"/>
          <w:numId w:val="1002"/>
        </w:numPr>
      </w:pPr>
      <w:r>
        <w:t xml:space="preserve">Ongoing support for the implementation of the revised Schengen Borders Code and the digitalisation of travel documents.</w:t>
      </w:r>
    </w:p>
    <w:p>
      <w:pPr>
        <w:pStyle w:val="Compact"/>
        <w:numPr>
          <w:ilvl w:val="0"/>
          <w:numId w:val="1002"/>
        </w:numPr>
      </w:pPr>
      <w:r>
        <w:t xml:space="preserve">Ongoing enforcement and support for the application of EU law, including engagement with Member States to ensure correct implementation and decisive action on infringements.</w:t>
      </w:r>
    </w:p>
    <w:bookmarkEnd w:id="24"/>
    <w:bookmarkStart w:id="25" w:name="commitments"/>
    <w:p>
      <w:pPr>
        <w:pStyle w:val="Heading2"/>
      </w:pPr>
      <w:r>
        <w:t xml:space="preserve">Commitments</w:t>
      </w:r>
    </w:p>
    <w:p>
      <w:pPr>
        <w:pStyle w:val="Compact"/>
        <w:numPr>
          <w:ilvl w:val="0"/>
          <w:numId w:val="1003"/>
        </w:numPr>
      </w:pPr>
      <w:r>
        <w:t xml:space="preserve">The EU and its Member States mobilised over EUR 19 billion to strengthen Ukraine’s economic, social and financial resilience and an additional EUR 3.1 billion of military support under the European Peace Facility (by September 2022).</w:t>
      </w:r>
    </w:p>
    <w:p>
      <w:pPr>
        <w:pStyle w:val="Compact"/>
        <w:numPr>
          <w:ilvl w:val="0"/>
          <w:numId w:val="1003"/>
        </w:numPr>
      </w:pPr>
      <w:r>
        <w:t xml:space="preserve">The EU will provide EUR 100 million for the rehabilitation of damaged Ukrainian schools (timeline not specified, but described as a</w:t>
      </w:r>
      <w:r>
        <w:t xml:space="preserve"> </w:t>
      </w:r>
      <w:r>
        <w:t xml:space="preserve">“first step”</w:t>
      </w:r>
      <w:r>
        <w:t xml:space="preserve">).</w:t>
      </w:r>
    </w:p>
    <w:p>
      <w:pPr>
        <w:pStyle w:val="Compact"/>
        <w:numPr>
          <w:ilvl w:val="0"/>
          <w:numId w:val="1003"/>
        </w:numPr>
      </w:pPr>
      <w:r>
        <w:t xml:space="preserve">The EU has mobilised EUR 600 million from the European Development Fund to increase support to food security to African, Caribbean and Pacific countries.</w:t>
      </w:r>
    </w:p>
    <w:p>
      <w:pPr>
        <w:pStyle w:val="Compact"/>
        <w:numPr>
          <w:ilvl w:val="0"/>
          <w:numId w:val="1003"/>
        </w:numPr>
      </w:pPr>
      <w:r>
        <w:t xml:space="preserve">The Commission adopted a proposal to halve pesticide use by 2030.</w:t>
      </w:r>
    </w:p>
    <w:p>
      <w:pPr>
        <w:pStyle w:val="Compact"/>
        <w:numPr>
          <w:ilvl w:val="0"/>
          <w:numId w:val="1003"/>
        </w:numPr>
      </w:pPr>
      <w:r>
        <w:t xml:space="preserve">The Commission adopted a proposal to restore Europe’s damaged ecosystems by 2050.</w:t>
      </w:r>
    </w:p>
    <w:p>
      <w:pPr>
        <w:pStyle w:val="Compact"/>
        <w:numPr>
          <w:ilvl w:val="0"/>
          <w:numId w:val="1003"/>
        </w:numPr>
      </w:pPr>
      <w:r>
        <w:t xml:space="preserve">The Commission will propose a comprehensive reform of the EU electricity market in early 2023.</w:t>
      </w:r>
    </w:p>
    <w:p>
      <w:pPr>
        <w:pStyle w:val="Compact"/>
        <w:numPr>
          <w:ilvl w:val="0"/>
          <w:numId w:val="1003"/>
        </w:numPr>
      </w:pPr>
      <w:r>
        <w:t xml:space="preserve">The EU will create a new European Hydrogen Bank to invest EUR 3 billion into kick-starting a hydrogen market in the EU.</w:t>
      </w:r>
    </w:p>
    <w:p>
      <w:pPr>
        <w:pStyle w:val="Compact"/>
        <w:numPr>
          <w:ilvl w:val="0"/>
          <w:numId w:val="1003"/>
        </w:numPr>
      </w:pPr>
      <w:r>
        <w:t xml:space="preserve">The Commission will take measures including food waste reduction targets (specific targets not quantified in the text).</w:t>
      </w:r>
    </w:p>
    <w:p>
      <w:pPr>
        <w:pStyle w:val="Compact"/>
        <w:numPr>
          <w:ilvl w:val="0"/>
          <w:numId w:val="1003"/>
        </w:numPr>
      </w:pPr>
      <w:r>
        <w:t xml:space="preserve">The Commission will double its firefighting capacities ahead of the 2023 forest fire season and add 10 light amphibious aircrafts and 3 helicopters to its fleet.</w:t>
      </w:r>
    </w:p>
    <w:p>
      <w:pPr>
        <w:pStyle w:val="Compact"/>
        <w:numPr>
          <w:ilvl w:val="0"/>
          <w:numId w:val="1003"/>
        </w:numPr>
      </w:pPr>
      <w:r>
        <w:t xml:space="preserve">The Commission will propose a second basket of new own resources for the EU budget in 2023.</w:t>
      </w:r>
    </w:p>
    <w:p>
      <w:pPr>
        <w:pStyle w:val="Compact"/>
        <w:numPr>
          <w:ilvl w:val="0"/>
          <w:numId w:val="1003"/>
        </w:numPr>
      </w:pPr>
      <w:r>
        <w:t xml:space="preserve">The Commission will carry out a mid-term review of the multiannual financial framework (MFF) 2021-2027 in 2023.</w:t>
      </w:r>
    </w:p>
    <w:p>
      <w:pPr>
        <w:pStyle w:val="Compact"/>
        <w:numPr>
          <w:ilvl w:val="0"/>
          <w:numId w:val="1003"/>
        </w:numPr>
      </w:pPr>
      <w:r>
        <w:t xml:space="preserve">The Commission will propose a legislative initiative on a statute for European cross-border associations in 2023.</w:t>
      </w:r>
    </w:p>
    <w:p>
      <w:pPr>
        <w:pStyle w:val="Compact"/>
        <w:numPr>
          <w:ilvl w:val="0"/>
          <w:numId w:val="1003"/>
        </w:numPr>
      </w:pPr>
      <w:r>
        <w:t xml:space="preserve">The Commission will propose a package of measures to facilitate retail investment and revise the payment services Directive (timeline not specified, but within the 2023 work programme).</w:t>
      </w:r>
    </w:p>
    <w:p>
      <w:pPr>
        <w:pStyle w:val="Compact"/>
        <w:numPr>
          <w:ilvl w:val="0"/>
          <w:numId w:val="1003"/>
        </w:numPr>
      </w:pPr>
      <w:r>
        <w:t xml:space="preserve">The Commission will propose a digital euro before its potential issuance by the European Central Bank.</w:t>
      </w:r>
    </w:p>
    <w:p>
      <w:pPr>
        <w:pStyle w:val="Compact"/>
        <w:numPr>
          <w:ilvl w:val="0"/>
          <w:numId w:val="1003"/>
        </w:numPr>
      </w:pPr>
      <w:r>
        <w:t xml:space="preserve">The Commission will propose a European disability card ensuring the mutual recognition of disability status across all Member States (timeline not specified, but within the 2023 work programme).</w:t>
      </w:r>
    </w:p>
    <w:p>
      <w:pPr>
        <w:pStyle w:val="Compact"/>
        <w:numPr>
          <w:ilvl w:val="0"/>
          <w:numId w:val="1003"/>
        </w:numPr>
      </w:pPr>
      <w:r>
        <w:t xml:space="preserve">The Commission will propose amendments to the rules governing cooperation between consumer protection authorities (timeline not specified, but within the 2023 work programme).</w:t>
      </w:r>
    </w:p>
    <w:p>
      <w:pPr>
        <w:pStyle w:val="Compact"/>
        <w:numPr>
          <w:ilvl w:val="0"/>
          <w:numId w:val="1003"/>
        </w:numPr>
      </w:pPr>
      <w:r>
        <w:t xml:space="preserve">The Commission will continue to implement the ‘one in, one out’ approach in 2023.</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2025-06-11T18:23:13Z</dcterms:created>
  <dcterms:modified xsi:type="dcterms:W3CDTF">2025-06-11T18:23:13Z</dcterms:modified>
</cp:coreProperties>
</file>

<file path=docProps/custom.xml><?xml version="1.0" encoding="utf-8"?>
<Properties xmlns="http://schemas.openxmlformats.org/officeDocument/2006/custom-properties" xmlns:vt="http://schemas.openxmlformats.org/officeDocument/2006/docPropsVTypes"/>
</file>